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#99</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1911820</w:t>
      </w:r>
    </w:p>
    <w:p>
      <w:pPr>
        <w:tabs>
          <w:tab w:val="center" w:pos="4536"/>
          <w:tab w:val="right" w:pos="9072"/>
        </w:tabs>
        <w:rPr>
          <w:rFonts w:hint="eastAsia" w:ascii="Arial" w:hAnsi="Arial" w:eastAsia="宋体" w:cs="Times New Roman"/>
          <w:b/>
          <w:sz w:val="22"/>
          <w:szCs w:val="22"/>
          <w:lang w:val="sv-SE" w:eastAsia="ja-JP" w:bidi="ar-SA"/>
        </w:rPr>
      </w:pPr>
      <w:r>
        <w:rPr>
          <w:rFonts w:hint="eastAsia" w:ascii="Arial" w:hAnsi="Arial" w:eastAsia="Batang"/>
          <w:b/>
          <w:smallCaps w:val="0"/>
          <w:sz w:val="22"/>
          <w:szCs w:val="22"/>
          <w:lang w:val="en-US" w:eastAsia="zh-CN"/>
        </w:rPr>
        <w:t xml:space="preserve">Reno, USA, </w:t>
      </w:r>
      <w:r>
        <w:rPr>
          <w:rFonts w:hint="eastAsia" w:ascii="Arial" w:hAnsi="Arial" w:eastAsia="Batang"/>
          <w:b/>
          <w:sz w:val="22"/>
          <w:szCs w:val="22"/>
          <w:lang w:val="en-US" w:eastAsia="zh-CN"/>
        </w:rPr>
        <w:t>18</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22</w:t>
      </w:r>
      <w:r>
        <w:rPr>
          <w:rFonts w:hint="eastAsia" w:ascii="Arial" w:hAnsi="Arial" w:eastAsia="Batang"/>
          <w:b/>
          <w:sz w:val="22"/>
          <w:szCs w:val="22"/>
          <w:vertAlign w:val="superscript"/>
          <w:lang w:val="en-US" w:eastAsia="zh-CN"/>
        </w:rPr>
        <w:t xml:space="preserve">th </w:t>
      </w:r>
      <w:r>
        <w:rPr>
          <w:rFonts w:hint="eastAsia" w:ascii="Arial" w:hAnsi="Arial" w:eastAsia="Batang"/>
          <w:b/>
          <w:sz w:val="22"/>
          <w:szCs w:val="22"/>
          <w:lang w:val="en-US" w:eastAsia="zh-CN"/>
        </w:rPr>
        <w:t>November</w:t>
      </w:r>
      <w:r>
        <w:rPr>
          <w:rFonts w:ascii="Arial" w:hAnsi="Arial" w:eastAsia="Batang"/>
          <w:b/>
          <w:sz w:val="22"/>
          <w:szCs w:val="22"/>
          <w:lang w:val="sv-SE" w:eastAsia="zh-CN"/>
        </w:rPr>
        <w:t>,</w:t>
      </w:r>
      <w:r>
        <w:rPr>
          <w:rFonts w:ascii="Arial" w:hAnsi="Arial" w:eastAsia="宋体" w:cs="Times New Roman"/>
          <w:b/>
          <w:sz w:val="22"/>
          <w:szCs w:val="22"/>
          <w:lang w:val="sv-SE" w:eastAsia="ja-JP" w:bidi="ar-SA"/>
        </w:rPr>
        <w:t xml:space="preserve"> 2019</w:t>
      </w:r>
    </w:p>
    <w:p>
      <w:pPr>
        <w:pStyle w:val="92"/>
        <w:tabs>
          <w:tab w:val="right" w:pos="9639"/>
        </w:tabs>
        <w:spacing w:after="0"/>
        <w:jc w:val="both"/>
        <w:rPr>
          <w:rFonts w:eastAsia="宋体"/>
          <w:b/>
          <w:sz w:val="22"/>
          <w:szCs w:val="22"/>
          <w:lang w:val="sv-SE" w:eastAsia="zh-CN"/>
        </w:rPr>
      </w:pPr>
    </w:p>
    <w:p>
      <w:pPr>
        <w:pStyle w:val="21"/>
        <w:spacing w:after="60" w:line="260" w:lineRule="auto"/>
        <w:ind w:left="1786" w:hanging="1786"/>
        <w:rPr>
          <w:rFonts w:eastAsia="宋体"/>
          <w:sz w:val="22"/>
          <w:szCs w:val="22"/>
          <w:lang w:val="en-US"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Remaining issues on DL reference signals and channels design for NR-U</w:t>
      </w:r>
    </w:p>
    <w:p>
      <w:pPr>
        <w:pStyle w:val="21"/>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1"/>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1.2</w:t>
      </w:r>
    </w:p>
    <w:p>
      <w:pPr>
        <w:pStyle w:val="21"/>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autoSpaceDE/>
        <w:autoSpaceDN/>
        <w:adjustRightInd/>
        <w:spacing w:before="0" w:line="259" w:lineRule="auto"/>
        <w:jc w:val="both"/>
        <w:rPr>
          <w:rFonts w:hint="default" w:eastAsia="宋体"/>
          <w:iCs/>
          <w:lang w:val="en-US" w:eastAsia="zh-CN"/>
        </w:rPr>
      </w:pPr>
      <w:bookmarkStart w:id="1" w:name="OLE_LINK15"/>
      <w:bookmarkStart w:id="2" w:name="OLE_LINK2"/>
      <w:bookmarkStart w:id="3" w:name="OLE_LINK16"/>
      <w:bookmarkStart w:id="4" w:name="OLE_LINK1"/>
      <w:r>
        <w:rPr>
          <w:rFonts w:hint="eastAsia" w:eastAsia="宋体"/>
          <w:iCs/>
          <w:lang w:val="en-US" w:eastAsia="zh-CN"/>
        </w:rPr>
        <w:t xml:space="preserve">At RAN #84 plenary meeting in June 2019, the views on essential/optimization items on each WGs for on time completion of Rel-16 NR-U WI was presented in [1]. Wherein, the essential/optimization items in </w:t>
      </w:r>
      <w:r>
        <w:rPr>
          <w:rFonts w:hint="default" w:eastAsia="宋体"/>
          <w:iCs/>
          <w:lang w:val="en-US" w:eastAsia="zh-CN"/>
        </w:rPr>
        <w:t>“</w:t>
      </w:r>
      <w:r>
        <w:rPr>
          <w:rFonts w:hint="eastAsia" w:eastAsia="宋体"/>
          <w:iCs/>
          <w:lang w:val="en-US" w:eastAsia="zh-CN"/>
        </w:rPr>
        <w:t>7.2.2.1.2 DL signals and channels</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val="0"/>
          <w:iCs w:val="0"/>
          <w:lang w:val="en-US"/>
        </w:rPr>
      </w:pPr>
      <w:r>
        <w:rPr>
          <w:b/>
          <w:bCs/>
          <w:i w:val="0"/>
          <w:iCs w:val="0"/>
          <w:lang w:val="en-US"/>
        </w:rPr>
        <w:t>Essential</w:t>
      </w:r>
    </w:p>
    <w:p>
      <w:pPr>
        <w:numPr>
          <w:ilvl w:val="0"/>
          <w:numId w:val="9"/>
        </w:numPr>
        <w:spacing w:after="0" w:line="260" w:lineRule="auto"/>
        <w:rPr>
          <w:i/>
          <w:iCs/>
          <w:lang w:val="en-US"/>
        </w:rPr>
      </w:pPr>
      <w:r>
        <w:rPr>
          <w:i/>
          <w:iCs/>
          <w:lang w:val="en-US"/>
        </w:rPr>
        <w:t>Channel occupancy time and frequency domain structure indication for LBE</w:t>
      </w:r>
    </w:p>
    <w:p>
      <w:pPr>
        <w:numPr>
          <w:ilvl w:val="0"/>
          <w:numId w:val="9"/>
        </w:numPr>
        <w:spacing w:after="0" w:line="260" w:lineRule="auto"/>
        <w:rPr>
          <w:i/>
          <w:iCs/>
          <w:lang w:val="en-US"/>
        </w:rPr>
      </w:pPr>
      <w:r>
        <w:rPr>
          <w:i/>
          <w:iCs/>
          <w:lang w:val="en-US"/>
        </w:rPr>
        <w:t>UE COT detection</w:t>
      </w:r>
      <w:r>
        <w:rPr>
          <w:rFonts w:hint="eastAsia" w:eastAsia="宋体"/>
          <w:i/>
          <w:iCs/>
          <w:lang w:val="en-US" w:eastAsia="zh-CN"/>
        </w:rPr>
        <w:t xml:space="preserve"> </w:t>
      </w:r>
      <w:r>
        <w:rPr>
          <w:i/>
          <w:iCs/>
          <w:lang w:val="en-US"/>
        </w:rPr>
        <w:t>for FBE</w:t>
      </w:r>
    </w:p>
    <w:p>
      <w:pPr>
        <w:numPr>
          <w:ilvl w:val="0"/>
          <w:numId w:val="9"/>
        </w:numPr>
        <w:spacing w:after="0" w:line="260" w:lineRule="auto"/>
        <w:rPr>
          <w:i/>
          <w:iCs/>
          <w:lang w:val="en-US"/>
        </w:rPr>
      </w:pPr>
      <w:r>
        <w:rPr>
          <w:i/>
          <w:iCs/>
          <w:lang w:val="en-US"/>
        </w:rPr>
        <w:t>gNB control for the Cat 4 UL transmission (including CG) switching to cat 2 when fall in gNB COT</w:t>
      </w:r>
    </w:p>
    <w:p>
      <w:pPr>
        <w:numPr>
          <w:ilvl w:val="0"/>
          <w:numId w:val="9"/>
        </w:numPr>
        <w:rPr>
          <w:i/>
          <w:iCs/>
          <w:lang w:val="en-US"/>
        </w:rPr>
      </w:pPr>
      <w:r>
        <w:rPr>
          <w:i/>
          <w:iCs/>
          <w:lang w:val="en-US"/>
        </w:rPr>
        <w:t>Behavior when P/SP-CSI-RS fail to transmit due to LBT</w:t>
      </w:r>
    </w:p>
    <w:p>
      <w:pPr>
        <w:spacing w:after="0" w:line="260" w:lineRule="auto"/>
        <w:rPr>
          <w:i w:val="0"/>
          <w:iCs w:val="0"/>
          <w:lang w:val="en-US"/>
        </w:rPr>
      </w:pPr>
      <w:r>
        <w:rPr>
          <w:b/>
          <w:bCs/>
          <w:i w:val="0"/>
          <w:iCs w:val="0"/>
          <w:lang w:val="en-US"/>
        </w:rPr>
        <w:t>Optimization</w:t>
      </w:r>
    </w:p>
    <w:p>
      <w:pPr>
        <w:numPr>
          <w:ilvl w:val="0"/>
          <w:numId w:val="10"/>
        </w:numPr>
        <w:spacing w:after="0" w:line="260" w:lineRule="auto"/>
        <w:rPr>
          <w:i/>
          <w:iCs/>
          <w:lang w:val="en-US"/>
        </w:rPr>
      </w:pPr>
      <w:r>
        <w:rPr>
          <w:i/>
          <w:iCs/>
          <w:lang w:val="en-US"/>
        </w:rPr>
        <w:t>CSI-RS enhancement outside of DRS</w:t>
      </w:r>
    </w:p>
    <w:p>
      <w:pPr>
        <w:numPr>
          <w:ilvl w:val="1"/>
          <w:numId w:val="10"/>
        </w:numPr>
        <w:spacing w:after="0" w:line="260" w:lineRule="auto"/>
        <w:rPr>
          <w:i/>
          <w:iCs/>
          <w:lang w:val="en-US"/>
        </w:rPr>
      </w:pPr>
      <w:r>
        <w:rPr>
          <w:i/>
          <w:iCs/>
          <w:lang w:val="en-US"/>
        </w:rPr>
        <w:t>More opportunities for CSI-RS to compensate the possible LBT failure</w:t>
      </w:r>
    </w:p>
    <w:p>
      <w:pPr>
        <w:numPr>
          <w:ilvl w:val="1"/>
          <w:numId w:val="10"/>
        </w:numPr>
        <w:rPr>
          <w:i/>
          <w:iCs/>
          <w:lang w:val="en-US"/>
        </w:rPr>
      </w:pPr>
      <w:r>
        <w:rPr>
          <w:i/>
          <w:iCs/>
          <w:lang w:val="en-US"/>
        </w:rPr>
        <w:t>A-TRS directly QCL with SSB</w:t>
      </w:r>
    </w:p>
    <w:p>
      <w:pPr>
        <w:spacing w:after="180" w:line="259" w:lineRule="auto"/>
        <w:jc w:val="both"/>
        <w:rPr>
          <w:rFonts w:hint="eastAsia"/>
          <w:b w:val="0"/>
          <w:bCs w:val="0"/>
          <w:u w:val="none"/>
          <w:lang w:val="en-US" w:eastAsia="zh-CN"/>
        </w:rPr>
      </w:pPr>
      <w:r>
        <w:rPr>
          <w:rFonts w:hint="eastAsia"/>
          <w:b w:val="0"/>
          <w:bCs w:val="0"/>
          <w:u w:val="none"/>
          <w:lang w:val="en-US" w:eastAsia="zh-CN"/>
        </w:rPr>
        <w:t xml:space="preserve">During Rel-16 NR-U WI, RAN1 has reached a lot of agreements and conclusions on DL signals and channels as follows [2-5]. </w:t>
      </w:r>
    </w:p>
    <w:p>
      <w:pPr>
        <w:spacing w:after="0" w:line="264" w:lineRule="auto"/>
        <w:rPr>
          <w:i w:val="0"/>
          <w:iCs w:val="0"/>
          <w:lang w:eastAsia="zh-CN"/>
        </w:rPr>
      </w:pPr>
      <w:r>
        <w:rPr>
          <w:i w:val="0"/>
          <w:iCs w:val="0"/>
          <w:highlight w:val="green"/>
          <w:lang w:eastAsia="zh-CN"/>
        </w:rPr>
        <w:t>Agreement:</w:t>
      </w:r>
    </w:p>
    <w:p>
      <w:pPr>
        <w:spacing w:after="0" w:line="264" w:lineRule="auto"/>
        <w:rPr>
          <w:i/>
          <w:iCs/>
          <w:lang w:eastAsia="zh-CN"/>
        </w:rPr>
      </w:pPr>
      <w:r>
        <w:rPr>
          <w:i/>
          <w:iCs/>
          <w:lang w:eastAsia="zh-CN"/>
        </w:rPr>
        <w:t>Add a COT duration bit-field per serving cell in GC-PDCCH, i.e., DCI format 2_0</w:t>
      </w:r>
    </w:p>
    <w:p>
      <w:pPr>
        <w:pStyle w:val="124"/>
        <w:numPr>
          <w:ilvl w:val="0"/>
          <w:numId w:val="11"/>
        </w:numPr>
        <w:spacing w:after="0" w:line="264" w:lineRule="auto"/>
        <w:rPr>
          <w:i/>
          <w:iCs/>
        </w:rPr>
      </w:pPr>
      <w:r>
        <w:rPr>
          <w:i/>
          <w:iCs/>
        </w:rPr>
        <w:t>The following are configurable by RRC:</w:t>
      </w:r>
    </w:p>
    <w:p>
      <w:pPr>
        <w:pStyle w:val="124"/>
        <w:numPr>
          <w:ilvl w:val="2"/>
          <w:numId w:val="11"/>
        </w:numPr>
        <w:spacing w:after="0" w:line="264" w:lineRule="auto"/>
        <w:ind w:left="1580" w:leftChars="0"/>
        <w:rPr>
          <w:i/>
          <w:iCs/>
        </w:rPr>
      </w:pPr>
      <w:r>
        <w:rPr>
          <w:i/>
          <w:iCs/>
        </w:rPr>
        <w:t>Presence of this bit-field</w:t>
      </w:r>
    </w:p>
    <w:p>
      <w:pPr>
        <w:pStyle w:val="124"/>
        <w:numPr>
          <w:ilvl w:val="2"/>
          <w:numId w:val="11"/>
        </w:numPr>
        <w:spacing w:after="0" w:line="264" w:lineRule="auto"/>
        <w:ind w:left="1580" w:leftChars="0"/>
        <w:rPr>
          <w:i/>
          <w:iCs/>
        </w:rPr>
      </w:pPr>
      <w:r>
        <w:rPr>
          <w:i/>
          <w:iCs/>
        </w:rPr>
        <w:t>Location of this bit-field in the DCI</w:t>
      </w:r>
    </w:p>
    <w:p>
      <w:pPr>
        <w:pStyle w:val="124"/>
        <w:numPr>
          <w:ilvl w:val="2"/>
          <w:numId w:val="11"/>
        </w:numPr>
        <w:spacing w:after="0" w:line="264" w:lineRule="auto"/>
        <w:ind w:left="1580" w:leftChars="0"/>
        <w:rPr>
          <w:i/>
          <w:iCs/>
        </w:rPr>
      </w:pPr>
      <w:r>
        <w:rPr>
          <w:i/>
          <w:iCs/>
        </w:rPr>
        <w:t xml:space="preserve">Length of this bit-field in the DCI </w:t>
      </w:r>
    </w:p>
    <w:p>
      <w:pPr>
        <w:pStyle w:val="124"/>
        <w:numPr>
          <w:ilvl w:val="4"/>
          <w:numId w:val="11"/>
        </w:numPr>
        <w:spacing w:after="0" w:line="264" w:lineRule="auto"/>
        <w:ind w:left="2000" w:leftChars="0"/>
        <w:rPr>
          <w:i/>
          <w:iCs/>
        </w:rPr>
      </w:pPr>
      <w:r>
        <w:rPr>
          <w:i/>
          <w:iCs/>
        </w:rPr>
        <w:t>FFS: Whether a single value will suffice in which case, the length is not configurable</w:t>
      </w:r>
    </w:p>
    <w:p>
      <w:pPr>
        <w:pStyle w:val="124"/>
        <w:numPr>
          <w:ilvl w:val="2"/>
          <w:numId w:val="11"/>
        </w:numPr>
        <w:spacing w:after="0" w:line="264" w:lineRule="auto"/>
        <w:ind w:left="1580" w:leftChars="0"/>
        <w:rPr>
          <w:i/>
          <w:iCs/>
        </w:rPr>
      </w:pPr>
      <w:r>
        <w:rPr>
          <w:i/>
          <w:iCs/>
        </w:rPr>
        <w:t>Encoding of the bit field value, i.e., what COT duration corresponds to which bit-field value</w:t>
      </w:r>
    </w:p>
    <w:p>
      <w:pPr>
        <w:pStyle w:val="124"/>
        <w:numPr>
          <w:ilvl w:val="0"/>
          <w:numId w:val="11"/>
        </w:numPr>
        <w:spacing w:after="0" w:line="264" w:lineRule="auto"/>
        <w:rPr>
          <w:i/>
          <w:iCs/>
        </w:rPr>
      </w:pPr>
      <w:r>
        <w:rPr>
          <w:i/>
          <w:iCs/>
        </w:rPr>
        <w:t>If a UE receives this bit-field, it applies the knowledge about end-of-COT at least for the purpose of UL transmission LBT category switching in a gNB-acquired COT</w:t>
      </w:r>
    </w:p>
    <w:p>
      <w:pPr>
        <w:pStyle w:val="124"/>
        <w:numPr>
          <w:ilvl w:val="0"/>
          <w:numId w:val="11"/>
        </w:numPr>
        <w:spacing w:after="0" w:line="264" w:lineRule="auto"/>
        <w:rPr>
          <w:i/>
          <w:iCs/>
        </w:rPr>
      </w:pPr>
      <w:r>
        <w:rPr>
          <w:i/>
          <w:iCs/>
        </w:rPr>
        <w:t>If this field is not present, UE should use SFI indication to determine end-of-COT (if SFI is available)</w:t>
      </w:r>
    </w:p>
    <w:p>
      <w:pPr>
        <w:pStyle w:val="124"/>
        <w:numPr>
          <w:ilvl w:val="2"/>
          <w:numId w:val="11"/>
        </w:numPr>
        <w:spacing w:after="0" w:line="264" w:lineRule="auto"/>
        <w:ind w:left="1580" w:leftChars="0"/>
        <w:rPr>
          <w:i/>
          <w:iCs/>
        </w:rPr>
      </w:pPr>
      <w:r>
        <w:rPr>
          <w:i/>
          <w:iCs/>
        </w:rPr>
        <w:t>FFS: details for this SFI-based mechanism</w:t>
      </w:r>
    </w:p>
    <w:p>
      <w:pPr>
        <w:pStyle w:val="124"/>
        <w:numPr>
          <w:ilvl w:val="0"/>
          <w:numId w:val="11"/>
        </w:numPr>
        <w:spacing w:after="0" w:line="264" w:lineRule="auto"/>
        <w:rPr>
          <w:i/>
          <w:iCs/>
        </w:rPr>
      </w:pPr>
      <w:r>
        <w:rPr>
          <w:i/>
          <w:iCs/>
        </w:rPr>
        <w:t>FFS: Whether the duration is encoded as e.g., total length or remaining length.</w:t>
      </w:r>
    </w:p>
    <w:p>
      <w:pPr>
        <w:pStyle w:val="124"/>
        <w:numPr>
          <w:ilvl w:val="0"/>
          <w:numId w:val="11"/>
        </w:numPr>
        <w:spacing w:after="0" w:line="264" w:lineRule="auto"/>
        <w:rPr>
          <w:i/>
          <w:iCs/>
        </w:rPr>
      </w:pPr>
      <w:r>
        <w:rPr>
          <w:i/>
          <w:iCs/>
        </w:rPr>
        <w:t>FFS: Granularity the signalled duration</w:t>
      </w:r>
    </w:p>
    <w:p>
      <w:pPr>
        <w:spacing w:before="137" w:beforeLines="50" w:after="0" w:line="264" w:lineRule="auto"/>
        <w:rPr>
          <w:i w:val="0"/>
          <w:iCs w:val="0"/>
          <w:lang w:eastAsia="zh-CN"/>
        </w:rPr>
      </w:pPr>
      <w:r>
        <w:rPr>
          <w:i w:val="0"/>
          <w:iCs w:val="0"/>
          <w:highlight w:val="green"/>
          <w:lang w:eastAsia="zh-CN"/>
        </w:rPr>
        <w:t>Agreement:</w:t>
      </w:r>
    </w:p>
    <w:p>
      <w:pPr>
        <w:pStyle w:val="124"/>
        <w:numPr>
          <w:ilvl w:val="0"/>
          <w:numId w:val="12"/>
        </w:numPr>
        <w:spacing w:after="0" w:line="264" w:lineRule="auto"/>
        <w:rPr>
          <w:i/>
          <w:iCs/>
        </w:rPr>
      </w:pPr>
      <w:r>
        <w:rPr>
          <w:i/>
          <w:iCs/>
        </w:rPr>
        <w:t>A UE can be provided with at least two groups (FFS: more than two groups) of search space sets for PDCCH. The UE can be configured to switch between the groups, indicated based on at least the following alternatives.</w:t>
      </w:r>
    </w:p>
    <w:p>
      <w:pPr>
        <w:pStyle w:val="124"/>
        <w:numPr>
          <w:ilvl w:val="2"/>
          <w:numId w:val="12"/>
        </w:numPr>
        <w:spacing w:after="0" w:line="264" w:lineRule="auto"/>
        <w:ind w:left="1580" w:leftChars="0"/>
        <w:rPr>
          <w:i/>
          <w:iCs/>
        </w:rPr>
      </w:pPr>
      <w:r>
        <w:rPr>
          <w:i/>
          <w:iCs/>
        </w:rPr>
        <w:t>Alt 1: implicitly e.g. after detection of [FFS: DL burst, (WB-)DM-RS, GC-PDCCH and/or PDCCH] and/or e.g., based on information on COT structure.</w:t>
      </w:r>
    </w:p>
    <w:p>
      <w:pPr>
        <w:pStyle w:val="124"/>
        <w:numPr>
          <w:ilvl w:val="2"/>
          <w:numId w:val="12"/>
        </w:numPr>
        <w:spacing w:after="0" w:line="264" w:lineRule="auto"/>
        <w:ind w:left="1580" w:leftChars="0"/>
        <w:rPr>
          <w:i/>
          <w:iCs/>
        </w:rPr>
      </w:pPr>
      <w:r>
        <w:rPr>
          <w:i/>
          <w:iCs/>
        </w:rPr>
        <w:t>Alt 2: explicitly in GC-PDCCH and/or PDCCH</w:t>
      </w:r>
    </w:p>
    <w:p>
      <w:pPr>
        <w:pStyle w:val="124"/>
        <w:numPr>
          <w:ilvl w:val="0"/>
          <w:numId w:val="12"/>
        </w:numPr>
        <w:spacing w:after="0" w:line="264" w:lineRule="auto"/>
        <w:rPr>
          <w:i/>
          <w:iCs/>
        </w:rPr>
      </w:pPr>
      <w:r>
        <w:rPr>
          <w:i/>
          <w:iCs/>
        </w:rPr>
        <w:t>Search space sets that are not part of the configured groups (e.g., a common search space set) will always be monitored by the UE regardless of the search space set indication</w:t>
      </w:r>
    </w:p>
    <w:p>
      <w:pPr>
        <w:pStyle w:val="124"/>
        <w:numPr>
          <w:ilvl w:val="0"/>
          <w:numId w:val="12"/>
        </w:numPr>
        <w:spacing w:after="0" w:line="264" w:lineRule="auto"/>
        <w:rPr>
          <w:i/>
          <w:iCs/>
        </w:rPr>
      </w:pPr>
      <w:r>
        <w:rPr>
          <w:i/>
          <w:iCs/>
        </w:rPr>
        <w:t>A single search space set can be part of more than one group.</w:t>
      </w:r>
    </w:p>
    <w:p>
      <w:pPr>
        <w:pStyle w:val="124"/>
        <w:numPr>
          <w:ilvl w:val="0"/>
          <w:numId w:val="12"/>
        </w:numPr>
        <w:spacing w:after="0" w:line="264" w:lineRule="auto"/>
        <w:rPr>
          <w:i/>
          <w:iCs/>
        </w:rPr>
      </w:pPr>
      <w:r>
        <w:rPr>
          <w:i/>
          <w:iCs/>
        </w:rPr>
        <w:t>It is up to RAN2 to optimize the signalling to minimize overhead.</w:t>
      </w:r>
    </w:p>
    <w:p>
      <w:pPr>
        <w:spacing w:before="137" w:beforeLines="50" w:after="0" w:line="264" w:lineRule="auto"/>
        <w:rPr>
          <w:i w:val="0"/>
          <w:iCs w:val="0"/>
        </w:rPr>
      </w:pPr>
      <w:r>
        <w:rPr>
          <w:i w:val="0"/>
          <w:iCs w:val="0"/>
          <w:highlight w:val="green"/>
        </w:rPr>
        <w:t>Agreement:</w:t>
      </w:r>
    </w:p>
    <w:p>
      <w:pPr>
        <w:numPr>
          <w:ilvl w:val="0"/>
          <w:numId w:val="13"/>
        </w:numPr>
        <w:spacing w:after="0" w:line="264" w:lineRule="auto"/>
        <w:rPr>
          <w:i/>
          <w:iCs/>
        </w:rPr>
      </w:pPr>
      <w:r>
        <w:rPr>
          <w:i/>
          <w:iCs/>
        </w:rPr>
        <w:t>The following is agreed for DM-RS positions for PDSCH mapping Type B of length 9 and 10:</w:t>
      </w:r>
    </w:p>
    <w:tbl>
      <w:tblPr>
        <w:tblStyle w:val="30"/>
        <w:tblW w:w="4612" w:type="dxa"/>
        <w:jc w:val="center"/>
        <w:tblInd w:w="30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398"/>
        <w:gridCol w:w="790"/>
        <w:gridCol w:w="1003"/>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72" w:type="dxa"/>
            <w:vMerge w:val="restart"/>
            <w:vAlign w:val="top"/>
          </w:tcPr>
          <w:p>
            <w:pPr>
              <w:keepNext/>
              <w:keepLines/>
              <w:spacing w:after="0" w:line="264" w:lineRule="auto"/>
              <w:jc w:val="center"/>
              <w:rPr>
                <w:rFonts w:ascii="Times New Roman" w:hAnsi="Times New Roman"/>
                <w:b/>
                <w:i w:val="0"/>
                <w:iCs w:val="0"/>
                <w:sz w:val="20"/>
                <w:szCs w:val="20"/>
              </w:rPr>
            </w:pPr>
            <w:r>
              <w:rPr>
                <w:rFonts w:ascii="Times New Roman" w:hAnsi="Times New Roman"/>
                <w:i w:val="0"/>
                <w:iCs w:val="0"/>
                <w:szCs w:val="20"/>
              </w:rPr>
              <w:fldChar w:fldCharType="begin"/>
            </w:r>
            <w:r>
              <w:rPr>
                <w:rFonts w:ascii="Times New Roman" w:hAnsi="Times New Roman"/>
                <w:i w:val="0"/>
                <w:iCs w:val="0"/>
                <w:szCs w:val="20"/>
              </w:rPr>
              <w:instrText xml:space="preserve"> QUOTE </w:instrText>
            </w:r>
            <w:r>
              <w:rPr>
                <w:i w:val="0"/>
                <w:iCs w:val="0"/>
                <w:position w:val="-5"/>
              </w:rPr>
              <w:pict>
                <v:shape id="_x0000_i1025"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9EB&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949EB&quot; wsp:rsidP=&quot;001949EB&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 w:val="0"/>
                <w:iCs w:val="0"/>
                <w:szCs w:val="20"/>
              </w:rPr>
              <w:instrText xml:space="preserve"> </w:instrText>
            </w:r>
            <w:r>
              <w:rPr>
                <w:rFonts w:ascii="Times New Roman" w:hAnsi="Times New Roman"/>
                <w:i w:val="0"/>
                <w:iCs w:val="0"/>
                <w:szCs w:val="20"/>
              </w:rPr>
              <w:fldChar w:fldCharType="separate"/>
            </w:r>
            <w:r>
              <w:rPr>
                <w:i w:val="0"/>
                <w:iCs w:val="0"/>
                <w:position w:val="-5"/>
              </w:rPr>
              <w:pict>
                <v:shape id="_x0000_i1026"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9EB&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949EB&quot; wsp:rsidP=&quot;001949EB&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ascii="Times New Roman" w:hAnsi="Times New Roman"/>
                <w:i w:val="0"/>
                <w:iCs w:val="0"/>
                <w:szCs w:val="20"/>
              </w:rPr>
              <w:fldChar w:fldCharType="end"/>
            </w:r>
            <w:r>
              <w:rPr>
                <w:rFonts w:ascii="Times New Roman" w:hAnsi="Times New Roman"/>
                <w:i w:val="0"/>
                <w:iCs w:val="0"/>
                <w:szCs w:val="20"/>
              </w:rPr>
              <w:t xml:space="preserve"> </w:t>
            </w:r>
            <w:r>
              <w:rPr>
                <w:rFonts w:ascii="Times New Roman" w:hAnsi="Times New Roman"/>
                <w:b/>
                <w:i w:val="0"/>
                <w:iCs w:val="0"/>
                <w:sz w:val="20"/>
                <w:szCs w:val="20"/>
              </w:rPr>
              <w:t xml:space="preserve"> in symbols</w:t>
            </w:r>
          </w:p>
        </w:tc>
        <w:tc>
          <w:tcPr>
            <w:tcW w:w="3340" w:type="dxa"/>
            <w:gridSpan w:val="4"/>
            <w:tcBorders>
              <w:bottom w:val="single" w:color="auto" w:sz="4" w:space="0"/>
            </w:tcBorders>
            <w:vAlign w:val="top"/>
          </w:tcPr>
          <w:p>
            <w:pPr>
              <w:keepNext/>
              <w:keepLines/>
              <w:spacing w:after="0" w:line="264" w:lineRule="auto"/>
              <w:jc w:val="center"/>
              <w:rPr>
                <w:rFonts w:ascii="Times New Roman" w:hAnsi="Times New Roman" w:eastAsia="Times New Roman"/>
                <w:b/>
                <w:i w:val="0"/>
                <w:iCs w:val="0"/>
                <w:position w:val="-10"/>
                <w:sz w:val="20"/>
                <w:szCs w:val="20"/>
              </w:rPr>
            </w:pPr>
            <w:r>
              <w:rPr>
                <w:rFonts w:ascii="Times New Roman" w:hAnsi="Times New Roman"/>
                <w:b/>
                <w:i w:val="0"/>
                <w:iCs w:val="0"/>
                <w:sz w:val="20"/>
                <w:szCs w:val="20"/>
              </w:rPr>
              <w:t xml:space="preserve">DM-RS positions </w:t>
            </w:r>
            <w:r>
              <w:rPr>
                <w:rFonts w:ascii="Times New Roman" w:hAnsi="Times New Roman"/>
                <w:b/>
                <w:i w:val="0"/>
                <w:iCs w:val="0"/>
                <w:position w:val="-6"/>
                <w:sz w:val="20"/>
                <w:szCs w:val="20"/>
              </w:rPr>
              <w:object>
                <v:shape id="_x0000_i1027" o:spt="75" type="#_x0000_t75" style="height:14.1pt;width:7.75pt;" o:ole="t" filled="f" o:preferrelative="t" stroked="f" coordsize="21600,21600">
                  <v:path/>
                  <v:fill on="f" focussize="0,0"/>
                  <v:stroke on="f"/>
                  <v:imagedata r:id="rId8" o:title=""/>
                  <o:lock v:ext="edit" aspectratio="t"/>
                  <w10:wrap type="none"/>
                  <w10:anchorlock/>
                </v:shape>
                <o:OLEObject Type="Embed" ProgID="Equation.3" ShapeID="_x0000_i1027" DrawAspect="Content" ObjectID="_1468075725" r:id="rId7">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72" w:type="dxa"/>
            <w:vMerge w:val="continue"/>
            <w:vAlign w:val="top"/>
          </w:tcPr>
          <w:p>
            <w:pPr>
              <w:keepNext/>
              <w:keepLines/>
              <w:spacing w:after="0" w:line="264" w:lineRule="auto"/>
              <w:jc w:val="center"/>
              <w:rPr>
                <w:rFonts w:ascii="Times New Roman" w:hAnsi="Times New Roman"/>
                <w:b/>
                <w:i w:val="0"/>
                <w:iCs w:val="0"/>
                <w:sz w:val="20"/>
                <w:szCs w:val="20"/>
              </w:rPr>
            </w:pPr>
          </w:p>
        </w:tc>
        <w:tc>
          <w:tcPr>
            <w:tcW w:w="3340" w:type="dxa"/>
            <w:gridSpan w:val="4"/>
            <w:tcBorders>
              <w:bottom w:val="nil"/>
            </w:tcBorders>
            <w:vAlign w:val="top"/>
          </w:tcPr>
          <w:p>
            <w:pPr>
              <w:keepNext/>
              <w:keepLines/>
              <w:spacing w:after="0" w:line="264" w:lineRule="auto"/>
              <w:jc w:val="center"/>
              <w:rPr>
                <w:rFonts w:ascii="Times New Roman" w:hAnsi="Times New Roman" w:eastAsia="Times New Roman"/>
                <w:b/>
                <w:i w:val="0"/>
                <w:iCs w:val="0"/>
                <w:position w:val="-10"/>
                <w:sz w:val="20"/>
                <w:szCs w:val="20"/>
              </w:rPr>
            </w:pPr>
            <w:r>
              <w:rPr>
                <w:rFonts w:ascii="Times New Roman" w:hAnsi="Times New Roman"/>
                <w:b/>
                <w:i w:val="0"/>
                <w:iCs w:val="0"/>
                <w:sz w:val="20"/>
                <w:szCs w:val="20"/>
              </w:rPr>
              <w:t>PDSCH mapping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72" w:type="dxa"/>
            <w:vMerge w:val="continue"/>
            <w:vAlign w:val="top"/>
          </w:tcPr>
          <w:p>
            <w:pPr>
              <w:keepNext/>
              <w:keepLines/>
              <w:spacing w:after="0" w:line="264" w:lineRule="auto"/>
              <w:jc w:val="center"/>
              <w:rPr>
                <w:rFonts w:ascii="Times New Roman" w:hAnsi="Times New Roman"/>
                <w:b/>
                <w:i w:val="0"/>
                <w:iCs w:val="0"/>
                <w:sz w:val="20"/>
                <w:szCs w:val="20"/>
              </w:rPr>
            </w:pPr>
          </w:p>
        </w:tc>
        <w:tc>
          <w:tcPr>
            <w:tcW w:w="3340" w:type="dxa"/>
            <w:gridSpan w:val="4"/>
            <w:tcBorders>
              <w:top w:val="nil"/>
            </w:tcBorders>
            <w:vAlign w:val="top"/>
          </w:tcPr>
          <w:p>
            <w:pPr>
              <w:keepNext/>
              <w:keepLines/>
              <w:spacing w:after="0" w:line="264" w:lineRule="auto"/>
              <w:jc w:val="center"/>
              <w:rPr>
                <w:rFonts w:ascii="Times New Roman" w:hAnsi="Times New Roman" w:eastAsia="Times New Roman"/>
                <w:b/>
                <w:i w:val="0"/>
                <w:iCs w:val="0"/>
                <w:position w:val="-10"/>
                <w:sz w:val="20"/>
                <w:szCs w:val="20"/>
              </w:rPr>
            </w:pPr>
            <w:r>
              <w:rPr>
                <w:rFonts w:ascii="Times New Roman" w:hAnsi="Times New Roman"/>
                <w:b/>
                <w:i w:val="0"/>
                <w:iCs w:val="0"/>
                <w:sz w:val="20"/>
                <w:szCs w:val="20"/>
              </w:rPr>
              <w:t>dmrs-AdditionalPosition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72" w:type="dxa"/>
            <w:vMerge w:val="continue"/>
            <w:vAlign w:val="top"/>
          </w:tcPr>
          <w:p>
            <w:pPr>
              <w:keepNext/>
              <w:keepLines/>
              <w:spacing w:after="0" w:line="264" w:lineRule="auto"/>
              <w:jc w:val="center"/>
              <w:rPr>
                <w:rFonts w:ascii="Times New Roman" w:hAnsi="Times New Roman"/>
                <w:b/>
                <w:i w:val="0"/>
                <w:iCs w:val="0"/>
                <w:sz w:val="20"/>
                <w:szCs w:val="20"/>
              </w:rPr>
            </w:pPr>
          </w:p>
        </w:tc>
        <w:tc>
          <w:tcPr>
            <w:tcW w:w="398" w:type="dxa"/>
            <w:vAlign w:val="top"/>
          </w:tcPr>
          <w:p>
            <w:pPr>
              <w:keepNext/>
              <w:keepLines/>
              <w:spacing w:after="0" w:line="264" w:lineRule="auto"/>
              <w:jc w:val="center"/>
              <w:rPr>
                <w:rFonts w:ascii="Times New Roman" w:hAnsi="Times New Roman"/>
                <w:b/>
                <w:i w:val="0"/>
                <w:iCs w:val="0"/>
                <w:sz w:val="20"/>
                <w:szCs w:val="20"/>
              </w:rPr>
            </w:pPr>
            <w:r>
              <w:rPr>
                <w:rFonts w:ascii="Times New Roman" w:hAnsi="Times New Roman"/>
                <w:b/>
                <w:i w:val="0"/>
                <w:iCs w:val="0"/>
                <w:sz w:val="20"/>
                <w:szCs w:val="20"/>
              </w:rPr>
              <w:t>0</w:t>
            </w:r>
          </w:p>
        </w:tc>
        <w:tc>
          <w:tcPr>
            <w:tcW w:w="790" w:type="dxa"/>
            <w:vAlign w:val="top"/>
          </w:tcPr>
          <w:p>
            <w:pPr>
              <w:keepNext/>
              <w:keepLines/>
              <w:spacing w:after="0" w:line="264" w:lineRule="auto"/>
              <w:jc w:val="center"/>
              <w:rPr>
                <w:rFonts w:ascii="Times New Roman" w:hAnsi="Times New Roman"/>
                <w:b/>
                <w:i w:val="0"/>
                <w:iCs w:val="0"/>
                <w:sz w:val="20"/>
                <w:szCs w:val="20"/>
              </w:rPr>
            </w:pPr>
            <w:r>
              <w:rPr>
                <w:rFonts w:ascii="Times New Roman" w:hAnsi="Times New Roman"/>
                <w:b/>
                <w:i w:val="0"/>
                <w:iCs w:val="0"/>
                <w:sz w:val="20"/>
                <w:szCs w:val="20"/>
              </w:rPr>
              <w:t>1</w:t>
            </w:r>
          </w:p>
        </w:tc>
        <w:tc>
          <w:tcPr>
            <w:tcW w:w="1003" w:type="dxa"/>
            <w:vAlign w:val="top"/>
          </w:tcPr>
          <w:p>
            <w:pPr>
              <w:keepNext/>
              <w:keepLines/>
              <w:spacing w:after="0" w:line="264" w:lineRule="auto"/>
              <w:jc w:val="center"/>
              <w:rPr>
                <w:rFonts w:ascii="Times New Roman" w:hAnsi="Times New Roman"/>
                <w:b/>
                <w:i w:val="0"/>
                <w:iCs w:val="0"/>
                <w:sz w:val="20"/>
                <w:szCs w:val="20"/>
              </w:rPr>
            </w:pPr>
            <w:r>
              <w:rPr>
                <w:rFonts w:ascii="Times New Roman" w:hAnsi="Times New Roman"/>
                <w:b/>
                <w:i w:val="0"/>
                <w:iCs w:val="0"/>
                <w:sz w:val="20"/>
                <w:szCs w:val="20"/>
              </w:rPr>
              <w:t>2</w:t>
            </w:r>
          </w:p>
        </w:tc>
        <w:tc>
          <w:tcPr>
            <w:tcW w:w="1149" w:type="dxa"/>
            <w:vAlign w:val="top"/>
          </w:tcPr>
          <w:p>
            <w:pPr>
              <w:keepNext/>
              <w:keepLines/>
              <w:spacing w:after="0" w:line="264" w:lineRule="auto"/>
              <w:jc w:val="center"/>
              <w:rPr>
                <w:rFonts w:ascii="Times New Roman" w:hAnsi="Times New Roman"/>
                <w:b/>
                <w:i w:val="0"/>
                <w:iCs w:val="0"/>
                <w:sz w:val="20"/>
                <w:szCs w:val="20"/>
              </w:rPr>
            </w:pPr>
            <w:r>
              <w:rPr>
                <w:rFonts w:ascii="Times New Roman" w:hAnsi="Times New Roman"/>
                <w:b/>
                <w:i w:val="0"/>
                <w:iCs w:val="0"/>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72" w:type="dxa"/>
            <w:shd w:val="clear" w:color="auto" w:fill="FFFFFF"/>
            <w:vAlign w:val="top"/>
          </w:tcPr>
          <w:p>
            <w:pPr>
              <w:keepNext/>
              <w:keepLines/>
              <w:spacing w:after="0" w:line="264" w:lineRule="auto"/>
              <w:jc w:val="center"/>
              <w:rPr>
                <w:rFonts w:ascii="Times New Roman" w:hAnsi="Times New Roman"/>
                <w:i w:val="0"/>
                <w:iCs w:val="0"/>
                <w:sz w:val="20"/>
                <w:szCs w:val="20"/>
              </w:rPr>
            </w:pPr>
            <w:r>
              <w:rPr>
                <w:rFonts w:ascii="Times New Roman" w:hAnsi="Times New Roman"/>
                <w:i w:val="0"/>
                <w:iCs w:val="0"/>
                <w:sz w:val="20"/>
                <w:szCs w:val="20"/>
              </w:rPr>
              <w:t>9</w:t>
            </w:r>
          </w:p>
        </w:tc>
        <w:tc>
          <w:tcPr>
            <w:tcW w:w="398" w:type="dxa"/>
            <w:shd w:val="clear" w:color="auto" w:fill="FFFFFF"/>
            <w:vAlign w:val="top"/>
          </w:tcPr>
          <w:p>
            <w:pPr>
              <w:keepNext/>
              <w:keepLines/>
              <w:spacing w:after="0" w:line="264" w:lineRule="auto"/>
              <w:jc w:val="center"/>
              <w:rPr>
                <w:rFonts w:ascii="Times New Roman" w:hAnsi="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p>
        </w:tc>
        <w:tc>
          <w:tcPr>
            <w:tcW w:w="790" w:type="dxa"/>
            <w:shd w:val="clear" w:color="auto" w:fill="FFFFFF"/>
            <w:vAlign w:val="top"/>
          </w:tcPr>
          <w:p>
            <w:pPr>
              <w:keepNext/>
              <w:keepLines/>
              <w:spacing w:after="0" w:line="264" w:lineRule="auto"/>
              <w:jc w:val="center"/>
              <w:rPr>
                <w:rFonts w:ascii="Times New Roman" w:hAnsi="Times New Roman" w:eastAsia="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val="0"/>
                <w:iCs w:val="0"/>
                <w:sz w:val="20"/>
                <w:szCs w:val="20"/>
              </w:rPr>
              <w:t>, 7</w:t>
            </w:r>
          </w:p>
        </w:tc>
        <w:tc>
          <w:tcPr>
            <w:tcW w:w="1003" w:type="dxa"/>
            <w:shd w:val="clear" w:color="auto" w:fill="FFFFFF"/>
            <w:vAlign w:val="top"/>
          </w:tcPr>
          <w:p>
            <w:pPr>
              <w:keepNext/>
              <w:keepLines/>
              <w:spacing w:after="0" w:line="264" w:lineRule="auto"/>
              <w:jc w:val="center"/>
              <w:rPr>
                <w:rFonts w:ascii="Times New Roman" w:hAnsi="Times New Roman" w:eastAsia="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val="0"/>
                <w:iCs w:val="0"/>
                <w:sz w:val="20"/>
                <w:szCs w:val="20"/>
              </w:rPr>
              <w:t>,4,7</w:t>
            </w:r>
          </w:p>
        </w:tc>
        <w:tc>
          <w:tcPr>
            <w:tcW w:w="1149" w:type="dxa"/>
            <w:shd w:val="clear" w:color="auto" w:fill="FFFFFF"/>
            <w:vAlign w:val="top"/>
          </w:tcPr>
          <w:p>
            <w:pPr>
              <w:keepNext/>
              <w:keepLines/>
              <w:spacing w:after="0" w:line="264" w:lineRule="auto"/>
              <w:jc w:val="center"/>
              <w:rPr>
                <w:rFonts w:ascii="Times New Roman" w:hAnsi="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val="0"/>
                <w:iCs w:val="0"/>
                <w:sz w:val="20"/>
                <w:szCs w:val="20"/>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272" w:type="dxa"/>
            <w:shd w:val="clear" w:color="auto" w:fill="FFFFFF"/>
            <w:vAlign w:val="top"/>
          </w:tcPr>
          <w:p>
            <w:pPr>
              <w:keepNext/>
              <w:keepLines/>
              <w:spacing w:after="0" w:line="264" w:lineRule="auto"/>
              <w:jc w:val="center"/>
              <w:rPr>
                <w:rFonts w:ascii="Times New Roman" w:hAnsi="Times New Roman"/>
                <w:i w:val="0"/>
                <w:iCs w:val="0"/>
                <w:sz w:val="20"/>
                <w:szCs w:val="20"/>
              </w:rPr>
            </w:pPr>
            <w:r>
              <w:rPr>
                <w:rFonts w:ascii="Times New Roman" w:hAnsi="Times New Roman"/>
                <w:i w:val="0"/>
                <w:iCs w:val="0"/>
                <w:sz w:val="20"/>
                <w:szCs w:val="20"/>
              </w:rPr>
              <w:t>10</w:t>
            </w:r>
          </w:p>
        </w:tc>
        <w:tc>
          <w:tcPr>
            <w:tcW w:w="398" w:type="dxa"/>
            <w:shd w:val="clear" w:color="auto" w:fill="FFFFFF"/>
            <w:vAlign w:val="top"/>
          </w:tcPr>
          <w:p>
            <w:pPr>
              <w:keepNext/>
              <w:keepLines/>
              <w:spacing w:after="0" w:line="264" w:lineRule="auto"/>
              <w:jc w:val="center"/>
              <w:rPr>
                <w:rFonts w:ascii="Times New Roman" w:hAnsi="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p>
        </w:tc>
        <w:tc>
          <w:tcPr>
            <w:tcW w:w="790" w:type="dxa"/>
            <w:shd w:val="clear" w:color="auto" w:fill="FFFFFF"/>
            <w:vAlign w:val="top"/>
          </w:tcPr>
          <w:p>
            <w:pPr>
              <w:keepNext/>
              <w:keepLines/>
              <w:spacing w:after="0" w:line="264" w:lineRule="auto"/>
              <w:jc w:val="center"/>
              <w:rPr>
                <w:rFonts w:ascii="Times New Roman" w:hAnsi="Times New Roman" w:eastAsia="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val="0"/>
                <w:iCs w:val="0"/>
                <w:sz w:val="20"/>
                <w:szCs w:val="20"/>
              </w:rPr>
              <w:t>, 7</w:t>
            </w:r>
          </w:p>
        </w:tc>
        <w:tc>
          <w:tcPr>
            <w:tcW w:w="1003" w:type="dxa"/>
            <w:shd w:val="clear" w:color="auto" w:fill="FFFFFF"/>
            <w:vAlign w:val="top"/>
          </w:tcPr>
          <w:p>
            <w:pPr>
              <w:keepNext/>
              <w:keepLines/>
              <w:spacing w:after="0" w:line="264" w:lineRule="auto"/>
              <w:jc w:val="center"/>
              <w:rPr>
                <w:rFonts w:ascii="Times New Roman" w:hAnsi="Times New Roman" w:eastAsia="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val="0"/>
                <w:iCs w:val="0"/>
                <w:sz w:val="20"/>
                <w:szCs w:val="20"/>
              </w:rPr>
              <w:t>,4,7</w:t>
            </w:r>
          </w:p>
        </w:tc>
        <w:tc>
          <w:tcPr>
            <w:tcW w:w="1149" w:type="dxa"/>
            <w:shd w:val="clear" w:color="auto" w:fill="FFFFFF"/>
            <w:vAlign w:val="top"/>
          </w:tcPr>
          <w:p>
            <w:pPr>
              <w:keepNext/>
              <w:keepLines/>
              <w:spacing w:after="0" w:line="264" w:lineRule="auto"/>
              <w:jc w:val="center"/>
              <w:rPr>
                <w:rFonts w:ascii="Times New Roman" w:hAnsi="Times New Roman"/>
                <w:i w:val="0"/>
                <w:iCs w:val="0"/>
                <w:sz w:val="20"/>
                <w:szCs w:val="20"/>
              </w:rPr>
            </w:pPr>
            <w:r>
              <w:rPr>
                <w:rFonts w:ascii="Times New Roman" w:hAnsi="Times New Roman" w:eastAsia="Times New Roman"/>
                <w:i w:val="0"/>
                <w:iCs w:val="0"/>
                <w:position w:val="-10"/>
                <w:sz w:val="20"/>
                <w:szCs w:val="20"/>
                <w:lang w:eastAsia="en-GB"/>
              </w:rPr>
              <w:drawing>
                <wp:inline distT="0" distB="0" distL="114300" distR="114300">
                  <wp:extent cx="97790" cy="179705"/>
                  <wp:effectExtent l="0" t="0" r="16510" b="1270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pic:cNvPicPr>
                        </pic:nvPicPr>
                        <pic:blipFill>
                          <a:blip r:embed="rId9"/>
                          <a:stretch>
                            <a:fillRect/>
                          </a:stretch>
                        </pic:blipFill>
                        <pic:spPr>
                          <a:xfrm>
                            <a:off x="0" y="0"/>
                            <a:ext cx="97790" cy="179705"/>
                          </a:xfrm>
                          <a:prstGeom prst="rect">
                            <a:avLst/>
                          </a:prstGeom>
                          <a:noFill/>
                          <a:ln>
                            <a:noFill/>
                          </a:ln>
                        </pic:spPr>
                      </pic:pic>
                    </a:graphicData>
                  </a:graphic>
                </wp:inline>
              </w:drawing>
            </w:r>
            <w:r>
              <w:rPr>
                <w:rFonts w:ascii="Times New Roman" w:hAnsi="Times New Roman" w:eastAsia="Times New Roman"/>
                <w:i w:val="0"/>
                <w:iCs w:val="0"/>
                <w:sz w:val="20"/>
                <w:szCs w:val="20"/>
              </w:rPr>
              <w:t>,4,7</w:t>
            </w:r>
          </w:p>
        </w:tc>
      </w:tr>
    </w:tbl>
    <w:p>
      <w:pPr>
        <w:numPr>
          <w:ilvl w:val="0"/>
          <w:numId w:val="13"/>
        </w:numPr>
        <w:spacing w:after="0" w:line="264" w:lineRule="auto"/>
        <w:ind w:left="726" w:hanging="363"/>
        <w:rPr>
          <w:i/>
          <w:iCs/>
        </w:rPr>
      </w:pPr>
      <w:r>
        <w:rPr>
          <w:rFonts w:eastAsia="Times New Roman"/>
          <w:i/>
          <w:iCs/>
          <w:szCs w:val="20"/>
        </w:rPr>
        <w:t xml:space="preserve">If the PDSCH duration </w:t>
      </w:r>
      <w:r>
        <w:rPr>
          <w:rFonts w:eastAsia="Times New Roman"/>
          <w:i/>
          <w:iCs/>
          <w:szCs w:val="20"/>
        </w:rPr>
        <w:fldChar w:fldCharType="begin"/>
      </w:r>
      <w:r>
        <w:rPr>
          <w:rFonts w:eastAsia="Times New Roman"/>
          <w:i/>
          <w:iCs/>
          <w:szCs w:val="20"/>
        </w:rPr>
        <w:instrText xml:space="preserve"> QUOTE </w:instrText>
      </w:r>
      <w:r>
        <w:rPr>
          <w:i/>
          <w:iCs/>
          <w:position w:val="-5"/>
        </w:rPr>
        <w:pict>
          <v:shape id="_x0000_i1028"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4BF&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924BF&quot; wsp:rsidP=&quot;003924BF&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Times New Roman"/>
          <w:i/>
          <w:iCs/>
          <w:szCs w:val="20"/>
        </w:rPr>
        <w:instrText xml:space="preserve"> </w:instrText>
      </w:r>
      <w:r>
        <w:rPr>
          <w:rFonts w:eastAsia="Times New Roman"/>
          <w:i/>
          <w:iCs/>
          <w:szCs w:val="20"/>
        </w:rPr>
        <w:fldChar w:fldCharType="separate"/>
      </w:r>
      <w:r>
        <w:rPr>
          <w:i/>
          <w:iCs/>
          <w:position w:val="-5"/>
        </w:rPr>
        <w:pict>
          <v:shape id="_x0000_i1029" o:spt="75" type="#_x0000_t75" style="height:12pt;width:7.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77&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5C&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700&quot;/&gt;&lt;wsp:rsid wsp:val=&quot;0003083C&quot;/&gt;&lt;wsp:rsid wsp:val=&quot;000308DB&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53&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0&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BF&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D5&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BB9&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4C6&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D36&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9D9&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6DA&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9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6A&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33C&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6F84&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A29&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21&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434&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39B&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7A&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A0F&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050&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DE&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66D&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0E84&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BF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5C&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3D2&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CF2&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6D9F&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D6&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A95&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9D2&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0CD&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AF&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33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910&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4BF&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4D0&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4A9&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B7&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D99&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5DE7&quot;/&gt;&lt;wsp:rsid wsp:val=&quot;004562BB&quot;/&gt;&lt;wsp:rsid wsp:val=&quot;00456483&quot;/&gt;&lt;wsp:rsid wsp:val=&quot;0045649D&quot;/&gt;&lt;wsp:rsid wsp:val=&quot;00456A67&quot;/&gt;&lt;wsp:rsid wsp:val=&quot;00456AE2&quot;/&gt;&lt;wsp:rsid wsp:val=&quot;00456D15&quot;/&gt;&lt;wsp:rsid wsp:val=&quot;00456F24&quot;/&gt;&lt;wsp:rsid wsp:val=&quot;0045737B&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B7&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24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6D&quot;/&gt;&lt;wsp:rsid wsp:val=&quot;004B62E1&quot;/&gt;&lt;wsp:rsid wsp:val=&quot;004B63B8&quot;/&gt;&lt;wsp:rsid wsp:val=&quot;004B63BD&quot;/&gt;&lt;wsp:rsid wsp:val=&quot;004B648F&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6AB&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49E&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246&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1F&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D67&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4E92&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0E5&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63&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6CB&quot;/&gt;&lt;wsp:rsid wsp:val=&quot;00553728&quot;/&gt;&lt;wsp:rsid wsp:val=&quot;005537EF&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183&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4A&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5B1&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14&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F&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4E4&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CBD&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B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462&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1E&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19A&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19&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569&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6A1&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6E&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444&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36&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264&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3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5D&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27&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0B&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4B81&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EFB&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4FB8&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27&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214&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2BA&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2B7&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85&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9E&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87D&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234&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001&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33B&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AA&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6F7E&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A1D&quot;/&gt;&lt;wsp:rsid wsp:val=&quot;008C5C8A&quot;/&gt;&lt;wsp:rsid wsp:val=&quot;008C5CD0&quot;/&gt;&lt;wsp:rsid wsp:val=&quot;008C5D8F&quot;/&gt;&lt;wsp:rsid wsp:val=&quot;008C5E20&quot;/&gt;&lt;wsp:rsid wsp:val=&quot;008C60E1&quot;/&gt;&lt;wsp:rsid wsp:val=&quot;008C6224&quot;/&gt;&lt;wsp:rsid wsp:val=&quot;008C62B1&quot;/&gt;&lt;wsp:rsid wsp:val=&quot;008C648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43&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5AD&quot;/&gt;&lt;wsp:rsid wsp:val=&quot;009306EB&quot;/&gt;&lt;wsp:rsid wsp:val=&quot;00930DF7&quot;/&gt;&lt;wsp:rsid wsp:val=&quot;00931019&quot;/&gt;&lt;wsp:rsid wsp:val=&quot;00931185&quot;/&gt;&lt;wsp:rsid wsp:val=&quot;0093124B&quot;/&gt;&lt;wsp:rsid wsp:val=&quot;0093139E&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6D33&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57DB4&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232&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6FFF&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412&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9B&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73&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6D6&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3F&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7F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CA7&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84&quot;/&gt;&lt;wsp:rsid wsp:val=&quot;009C4FC8&quot;/&gt;&lt;wsp:rsid wsp:val=&quot;009C5059&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4A&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5F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3AA&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0D&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2F&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E8C&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90&quot;/&gt;&lt;wsp:rsid wsp:val=&quot;00AA5FF8&quot;/&gt;&lt;wsp:rsid wsp:val=&quot;00AA61AE&quot;/&gt;&lt;wsp:rsid wsp:val=&quot;00AA61FA&quot;/&gt;&lt;wsp:rsid wsp:val=&quot;00AA62CD&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4D&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619&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A08&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A93&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10&quot;/&gt;&lt;wsp:rsid wsp:val=&quot;00B11418&quot;/&gt;&lt;wsp:rsid wsp:val=&quot;00B114FF&quot;/&gt;&lt;wsp:rsid wsp:val=&quot;00B1154D&quot;/&gt;&lt;wsp:rsid wsp:val=&quot;00B119C2&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C8E&quot;/&gt;&lt;wsp:rsid wsp:val=&quot;00B12E8D&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35&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29&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EE6&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17A&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A78&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8B&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133&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04&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C08&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8&quot;/&gt;&lt;wsp:rsid wsp:val=&quot;00BE4BBB&quot;/&gt;&lt;wsp:rsid wsp:val=&quot;00BE5013&quot;/&gt;&lt;wsp:rsid wsp:val=&quot;00BE5382&quot;/&gt;&lt;wsp:rsid wsp:val=&quot;00BE5447&quot;/&gt;&lt;wsp:rsid wsp:val=&quot;00BE5611&quot;/&gt;&lt;wsp:rsid wsp:val=&quot;00BE5753&quot;/&gt;&lt;wsp:rsid wsp:val=&quot;00BE59CF&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D8C&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7D6&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40A&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81&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4B6&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2A&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459&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1D&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A2&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5E&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91&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74&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2F09&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5E6B&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9D&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59F&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7FF&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0E5&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9A1&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C6F&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4B&quot;/&gt;&lt;wsp:rsid wsp:val=&quot;00D50FAB&quot;/&gt;&lt;wsp:rsid wsp:val=&quot;00D510D9&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07&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A98&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0B1&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CE1&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BF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39&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C5&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64E&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92D&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6E&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C52&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EF0&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EC&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026&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854&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9FE&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3&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DE7&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41&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4A5&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911&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ED0&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9BA&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737&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60E&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4C&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7F&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2F7B&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0F&quot;/&gt;&lt;wsp:rsid wsp:val=&quot;00FF43E1&quot;/&gt;&lt;wsp:rsid wsp:val=&quot;00FF46A3&quot;/&gt;&lt;wsp:rsid wsp:val=&quot;00FF4725&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3924BF&quot; wsp:rsidP=&quot;003924BF&quot;&gt;&lt;m:oMathPara&gt;&lt;m:oMath&gt;&lt;m:sSub&gt;&lt;m:sSubPr&gt;&lt;m:ctrlPr&gt;&lt;w:rPr&gt;&lt;w:rFonts w:ascii=&quot;Cambria Math&quot; w:fareast=&quot;Times New Roman&quot; w:h-ansi=&quot;Cambria Math&quot;/&gt;&lt;wx:font wx:val=&quot;Cambria Math&quot;/&gt;&lt;w:i/&gt;&lt;w:sz-cs w:val=&quot;20&quot;/&gt;&lt;/w:rPr&gt;&lt;/m:ctrlPr&gt;&lt;/m:sSubPr&gt;&lt;m:e&gt;&lt;m:r&gt;&lt;m:rPr&gt;&lt;m:sty m:val=&quot;bi&quot;/&gt;&lt;/m:rPr&gt;&lt;w:rPr&gt;&lt;w:rFonts w:ascii=&quot;Cambria Math&quot; w:fareast=&quot;Times New Roman&quot; w:h-ansi=&quot;Cambria Math&quot;/&gt;&lt;wx:font wx:val=&quot;Cambria Math&quot;/&gt;&lt;w:b/&gt;&lt;w:i/&gt;&lt;w:sz w:val=&quot;18&quot;/&gt;&lt;w:sz-cs w:val=&quot;20&quot;/&gt;&lt;/w:rPr&gt;&lt;m:t&gt;l&lt;/m:t&gt;&lt;/m:r&gt;&lt;/m:e&gt;&lt;m:sub&gt;&lt;m:r&gt;&lt;m:rPr&gt;&lt;m:nor/&gt;&lt;/m:rPr&gt;&lt;w:rPr&gt;&lt;w:rFonts w:ascii=&quot;Cambria Math&quot; w:fareast=&quot;Times New Roman&quot; w:h-ansi=&quot;Cambria Math&quot;/&gt;&lt;wx:font wx:val=&quot;Cambria Math&quot;/&gt;&lt;w:b/&gt;&lt;w:sz w:val=&quot;18&quot;/&gt;&lt;w:sz-cs w:val=&quot;20&quot;/&gt;&lt;/w:rPr&gt;&lt;m:t&gt;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Times New Roman"/>
          <w:i/>
          <w:iCs/>
          <w:szCs w:val="20"/>
        </w:rPr>
        <w:fldChar w:fldCharType="end"/>
      </w:r>
      <w:r>
        <w:rPr>
          <w:rFonts w:eastAsia="Times New Roman"/>
          <w:i/>
          <w:iCs/>
          <w:szCs w:val="20"/>
        </w:rPr>
        <w:t xml:space="preserve"> is 10 OFDM symbols for normal cyclic prefix, and if at least one of the DM-RS symbols corresponding to the PDSCH allocation collides with resources reserved for at least one of the symbols of a LTE CRS transmission, </w:t>
      </w:r>
      <w:r>
        <w:rPr>
          <w:i/>
          <w:iCs/>
          <w:position w:val="-6"/>
        </w:rPr>
        <w:object>
          <v:shape id="_x0000_i1030" o:spt="75" type="#_x0000_t75" style="height:15.2pt;width:8.45pt;" o:ole="t" filled="f" o:preferrelative="t" stroked="f" coordsize="21600,21600">
            <v:path/>
            <v:fill on="f" focussize="0,0"/>
            <v:stroke on="f"/>
            <v:imagedata r:id="rId8" o:title=""/>
            <o:lock v:ext="edit" aspectratio="t"/>
            <w10:wrap type="none"/>
            <w10:anchorlock/>
          </v:shape>
          <o:OLEObject Type="Embed" ProgID="Equation.3" ShapeID="_x0000_i1030" DrawAspect="Content" ObjectID="_1468075726" r:id="rId10">
            <o:LockedField>false</o:LockedField>
          </o:OLEObject>
        </w:object>
      </w:r>
      <w:r>
        <w:rPr>
          <w:rFonts w:eastAsia="Times New Roman"/>
          <w:i/>
          <w:iCs/>
          <w:szCs w:val="20"/>
        </w:rPr>
        <w:t>shall be incremented by 1</w:t>
      </w:r>
    </w:p>
    <w:p>
      <w:pPr>
        <w:numPr>
          <w:ilvl w:val="1"/>
          <w:numId w:val="13"/>
        </w:numPr>
        <w:spacing w:after="0" w:line="264" w:lineRule="auto"/>
        <w:rPr>
          <w:rFonts w:eastAsia="Times New Roman"/>
          <w:i w:val="0"/>
          <w:iCs w:val="0"/>
          <w:szCs w:val="20"/>
        </w:rPr>
      </w:pPr>
      <w:r>
        <w:rPr>
          <w:rFonts w:eastAsia="Times New Roman"/>
          <w:i/>
          <w:iCs/>
          <w:szCs w:val="20"/>
        </w:rPr>
        <w:t>FFS: Whether the increment is applicable to all slots or a subset of slots</w:t>
      </w:r>
    </w:p>
    <w:p>
      <w:pPr>
        <w:spacing w:before="137" w:beforeLines="50" w:after="0" w:line="264" w:lineRule="auto"/>
        <w:rPr>
          <w:i w:val="0"/>
          <w:iCs w:val="0"/>
          <w:highlight w:val="lightGray"/>
          <w:u w:val="single"/>
        </w:rPr>
      </w:pPr>
      <w:r>
        <w:rPr>
          <w:rFonts w:eastAsia="Times New Roman"/>
          <w:i w:val="0"/>
          <w:iCs w:val="0"/>
          <w:szCs w:val="20"/>
          <w:highlight w:val="lightGray"/>
          <w:u w:val="single"/>
        </w:rPr>
        <w:t>Conclusion:</w:t>
      </w:r>
    </w:p>
    <w:p>
      <w:pPr>
        <w:numPr>
          <w:ilvl w:val="0"/>
          <w:numId w:val="13"/>
        </w:numPr>
        <w:spacing w:after="0" w:line="264" w:lineRule="auto"/>
        <w:rPr>
          <w:i/>
          <w:iCs/>
          <w:highlight w:val="none"/>
        </w:rPr>
      </w:pPr>
      <w:r>
        <w:rPr>
          <w:i/>
          <w:iCs/>
          <w:highlight w:val="none"/>
        </w:rPr>
        <w:t>PDSCH type B durations 9,10 will not be optimised for double symbol DM-RS for avoiding LTE-CRS collisions</w:t>
      </w:r>
    </w:p>
    <w:p>
      <w:pPr>
        <w:spacing w:before="137" w:beforeLines="50" w:after="0" w:line="264" w:lineRule="auto"/>
        <w:rPr>
          <w:i w:val="0"/>
          <w:iCs w:val="0"/>
        </w:rPr>
      </w:pPr>
      <w:r>
        <w:rPr>
          <w:i w:val="0"/>
          <w:iCs w:val="0"/>
          <w:highlight w:val="green"/>
        </w:rPr>
        <w:t>Agreement:</w:t>
      </w:r>
    </w:p>
    <w:p>
      <w:pPr>
        <w:spacing w:after="0" w:line="264" w:lineRule="auto"/>
        <w:jc w:val="left"/>
        <w:rPr>
          <w:i/>
          <w:iCs/>
          <w:highlight w:val="green"/>
        </w:rPr>
      </w:pPr>
      <w:r>
        <w:rPr>
          <w:i/>
          <w:iCs/>
        </w:rPr>
        <w:t>Support bit field corresponding to available LBT bandwidths in GC-PDCCH (add a bitmap in the GC-PDCCH DCI)</w:t>
      </w:r>
    </w:p>
    <w:p>
      <w:pPr>
        <w:spacing w:before="137" w:beforeLines="50" w:after="0" w:line="264" w:lineRule="auto"/>
        <w:jc w:val="both"/>
        <w:rPr>
          <w:i w:val="0"/>
          <w:iCs w:val="0"/>
        </w:rPr>
      </w:pPr>
      <w:r>
        <w:rPr>
          <w:i w:val="0"/>
          <w:iCs w:val="0"/>
          <w:highlight w:val="green"/>
        </w:rPr>
        <w:t>Agreement:</w:t>
      </w:r>
    </w:p>
    <w:p>
      <w:pPr>
        <w:numPr>
          <w:ilvl w:val="0"/>
          <w:numId w:val="14"/>
        </w:numPr>
        <w:spacing w:after="0" w:line="264" w:lineRule="auto"/>
        <w:jc w:val="both"/>
        <w:rPr>
          <w:i/>
          <w:iCs/>
        </w:rPr>
      </w:pPr>
      <w:r>
        <w:rPr>
          <w:i/>
          <w:iCs/>
        </w:rPr>
        <w:t xml:space="preserve">Additional durations from 2 to 13 (other than 2, 4 and 7 which are already supported in Rel-15) for PDSCH mapping type B are supported. </w:t>
      </w:r>
    </w:p>
    <w:p>
      <w:pPr>
        <w:numPr>
          <w:ilvl w:val="1"/>
          <w:numId w:val="14"/>
        </w:numPr>
        <w:spacing w:after="0" w:line="264" w:lineRule="auto"/>
        <w:jc w:val="both"/>
        <w:rPr>
          <w:i/>
          <w:iCs/>
        </w:rPr>
      </w:pPr>
      <w:r>
        <w:rPr>
          <w:i/>
          <w:iCs/>
        </w:rPr>
        <w:t>FFS: A duration of 14</w:t>
      </w:r>
    </w:p>
    <w:p>
      <w:pPr>
        <w:numPr>
          <w:ilvl w:val="1"/>
          <w:numId w:val="14"/>
        </w:numPr>
        <w:spacing w:after="0" w:line="264" w:lineRule="auto"/>
        <w:jc w:val="both"/>
        <w:rPr>
          <w:i/>
          <w:iCs/>
        </w:rPr>
      </w:pPr>
      <w:r>
        <w:rPr>
          <w:i/>
          <w:iCs/>
        </w:rPr>
        <w:t>FFS: DMRS aspects for the additional durations (Reuse Rel-15 patterns or define new patterns for these additional durations)</w:t>
      </w:r>
    </w:p>
    <w:p>
      <w:pPr>
        <w:numPr>
          <w:ilvl w:val="0"/>
          <w:numId w:val="14"/>
        </w:numPr>
        <w:spacing w:after="0" w:line="264" w:lineRule="auto"/>
        <w:jc w:val="both"/>
        <w:rPr>
          <w:i/>
          <w:iCs/>
        </w:rPr>
      </w:pPr>
      <w:r>
        <w:rPr>
          <w:i/>
          <w:iCs/>
        </w:rPr>
        <w:t>Capability signalling will be defined for UEs to indicate which specific subset of durations are supported by the UE.</w:t>
      </w:r>
    </w:p>
    <w:p>
      <w:pPr>
        <w:numPr>
          <w:ilvl w:val="0"/>
          <w:numId w:val="14"/>
        </w:numPr>
        <w:spacing w:after="0" w:line="264" w:lineRule="auto"/>
        <w:jc w:val="both"/>
        <w:rPr>
          <w:i/>
          <w:iCs/>
        </w:rPr>
      </w:pPr>
      <w:r>
        <w:rPr>
          <w:i/>
          <w:iCs/>
        </w:rPr>
        <w:t>FFS: Some duration(s) are mandatory for the UE to support for initial access</w:t>
      </w:r>
    </w:p>
    <w:p>
      <w:pPr>
        <w:numPr>
          <w:ilvl w:val="0"/>
          <w:numId w:val="14"/>
        </w:numPr>
        <w:spacing w:after="0" w:line="264" w:lineRule="auto"/>
        <w:jc w:val="both"/>
        <w:rPr>
          <w:i/>
          <w:iCs/>
        </w:rPr>
      </w:pPr>
      <w:r>
        <w:rPr>
          <w:i/>
          <w:iCs/>
        </w:rPr>
        <w:t xml:space="preserve">FFS: PDSCH processing times for the new durations (reuse the values for durations of 2/4/7 or define new ones) </w:t>
      </w:r>
    </w:p>
    <w:p>
      <w:pPr>
        <w:numPr>
          <w:ilvl w:val="0"/>
          <w:numId w:val="14"/>
        </w:numPr>
        <w:spacing w:after="0" w:line="264" w:lineRule="auto"/>
        <w:jc w:val="both"/>
        <w:rPr>
          <w:i/>
          <w:iCs/>
        </w:rPr>
      </w:pPr>
      <w:r>
        <w:rPr>
          <w:i/>
          <w:iCs/>
        </w:rPr>
        <w:t>Note: PDCCH monitoring occasions will be discussed separately as part of the NR-U WI</w:t>
      </w:r>
    </w:p>
    <w:p>
      <w:pPr>
        <w:numPr>
          <w:ilvl w:val="0"/>
          <w:numId w:val="14"/>
        </w:numPr>
        <w:spacing w:after="0" w:line="264" w:lineRule="auto"/>
        <w:jc w:val="both"/>
        <w:rPr>
          <w:i/>
          <w:iCs/>
        </w:rPr>
      </w:pPr>
      <w:r>
        <w:rPr>
          <w:i/>
          <w:iCs/>
        </w:rPr>
        <w:t>Note: This agreement does not by itself imply an increased requirement in PDSCH processing and decoding capabilities compared to Rel-15</w:t>
      </w:r>
    </w:p>
    <w:p>
      <w:pPr>
        <w:spacing w:before="137" w:beforeLines="50" w:after="0" w:line="264" w:lineRule="auto"/>
        <w:jc w:val="both"/>
        <w:rPr>
          <w:i w:val="0"/>
          <w:iCs w:val="0"/>
        </w:rPr>
      </w:pPr>
      <w:r>
        <w:rPr>
          <w:i w:val="0"/>
          <w:iCs w:val="0"/>
          <w:highlight w:val="green"/>
        </w:rPr>
        <w:t>Agreement:</w:t>
      </w:r>
    </w:p>
    <w:p>
      <w:pPr>
        <w:pStyle w:val="124"/>
        <w:spacing w:after="0" w:line="264" w:lineRule="auto"/>
        <w:ind w:left="0" w:leftChars="0"/>
        <w:contextualSpacing/>
        <w:jc w:val="both"/>
        <w:rPr>
          <w:rFonts w:ascii="Calibri" w:hAnsi="Calibri"/>
          <w:i/>
          <w:iCs/>
          <w:sz w:val="20"/>
          <w:lang w:val="en-US"/>
        </w:rPr>
      </w:pPr>
      <w:r>
        <w:rPr>
          <w:i/>
          <w:iCs/>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pPr>
        <w:pStyle w:val="124"/>
        <w:numPr>
          <w:ilvl w:val="1"/>
          <w:numId w:val="15"/>
        </w:numPr>
        <w:spacing w:after="0" w:line="264" w:lineRule="auto"/>
        <w:ind w:left="780" w:leftChars="0"/>
        <w:contextualSpacing/>
        <w:jc w:val="both"/>
        <w:rPr>
          <w:rFonts w:ascii="Calibri" w:hAnsi="Calibri"/>
          <w:i/>
          <w:iCs/>
          <w:lang w:eastAsia="zh-CN"/>
        </w:rPr>
      </w:pPr>
      <w:r>
        <w:rPr>
          <w:i/>
          <w:iCs/>
          <w:lang w:eastAsia="ko-KR"/>
        </w:rPr>
        <w:t>FFS: Signalling details of the indication, including e.g., the time domain validity of the indication</w:t>
      </w:r>
    </w:p>
    <w:p>
      <w:pPr>
        <w:pStyle w:val="124"/>
        <w:numPr>
          <w:ilvl w:val="1"/>
          <w:numId w:val="15"/>
        </w:numPr>
        <w:spacing w:after="0" w:line="264" w:lineRule="auto"/>
        <w:ind w:left="780" w:leftChars="0"/>
        <w:contextualSpacing/>
        <w:jc w:val="both"/>
        <w:rPr>
          <w:i/>
          <w:iCs/>
          <w:lang w:eastAsia="ko-KR"/>
        </w:rPr>
      </w:pPr>
      <w:r>
        <w:rPr>
          <w:i/>
          <w:iCs/>
          <w:lang w:eastAsia="ko-KR"/>
        </w:rPr>
        <w:t>FFS: Whether and how to support the mechanism at the beginning of DL transmission burst</w:t>
      </w:r>
    </w:p>
    <w:p>
      <w:pPr>
        <w:pStyle w:val="124"/>
        <w:numPr>
          <w:ilvl w:val="1"/>
          <w:numId w:val="15"/>
        </w:numPr>
        <w:spacing w:after="0" w:line="264" w:lineRule="auto"/>
        <w:ind w:left="780" w:leftChars="0"/>
        <w:contextualSpacing/>
        <w:jc w:val="both"/>
        <w:rPr>
          <w:i/>
          <w:iCs/>
          <w:lang w:eastAsia="ko-KR"/>
        </w:rPr>
      </w:pPr>
      <w:r>
        <w:rPr>
          <w:i/>
          <w:iCs/>
          <w:lang w:eastAsia="ko-KR"/>
        </w:rPr>
        <w:t>FFS: Whether and how to handle the case when GC-PDCCH is not configured or not received by the UE</w:t>
      </w:r>
    </w:p>
    <w:p>
      <w:pPr>
        <w:spacing w:before="137" w:beforeLines="50" w:after="0" w:line="264" w:lineRule="auto"/>
        <w:jc w:val="both"/>
        <w:rPr>
          <w:rFonts w:cs="Times"/>
          <w:i w:val="0"/>
          <w:iCs w:val="0"/>
        </w:rPr>
      </w:pPr>
      <w:r>
        <w:rPr>
          <w:rFonts w:cs="Times"/>
          <w:i w:val="0"/>
          <w:iCs w:val="0"/>
          <w:highlight w:val="green"/>
        </w:rPr>
        <w:t>Agreement:</w:t>
      </w:r>
    </w:p>
    <w:p>
      <w:pPr>
        <w:numPr>
          <w:ilvl w:val="0"/>
          <w:numId w:val="16"/>
        </w:numPr>
        <w:spacing w:after="0" w:line="264" w:lineRule="auto"/>
        <w:ind w:hanging="363"/>
        <w:jc w:val="both"/>
        <w:rPr>
          <w:rFonts w:cs="Times"/>
          <w:i/>
          <w:iCs/>
        </w:rPr>
      </w:pPr>
      <w:r>
        <w:rPr>
          <w:rFonts w:cs="Times"/>
          <w:i/>
          <w:iCs/>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pPr>
        <w:numPr>
          <w:ilvl w:val="0"/>
          <w:numId w:val="17"/>
        </w:numPr>
        <w:spacing w:after="0" w:line="264" w:lineRule="auto"/>
        <w:ind w:hanging="363"/>
        <w:jc w:val="both"/>
        <w:rPr>
          <w:rFonts w:cs="Times"/>
          <w:i/>
          <w:iCs/>
        </w:rPr>
      </w:pPr>
      <w:r>
        <w:rPr>
          <w:rFonts w:cs="Times"/>
          <w:i/>
          <w:iCs/>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pPr>
        <w:numPr>
          <w:ilvl w:val="1"/>
          <w:numId w:val="17"/>
        </w:numPr>
        <w:spacing w:after="0" w:line="264" w:lineRule="auto"/>
        <w:ind w:hanging="363"/>
        <w:jc w:val="both"/>
        <w:rPr>
          <w:rFonts w:cs="Times"/>
          <w:i/>
          <w:iCs/>
        </w:rPr>
      </w:pPr>
      <w:r>
        <w:rPr>
          <w:rFonts w:cs="Times"/>
          <w:i/>
          <w:iCs/>
        </w:rPr>
        <w:t>Note: Whether a preamble, if defined, can be used for power saving in all cases depends on the details of the design.</w:t>
      </w:r>
    </w:p>
    <w:p>
      <w:pPr>
        <w:numPr>
          <w:ilvl w:val="0"/>
          <w:numId w:val="17"/>
        </w:numPr>
        <w:spacing w:after="0" w:line="264" w:lineRule="auto"/>
        <w:ind w:hanging="363"/>
        <w:jc w:val="both"/>
        <w:rPr>
          <w:rFonts w:cs="Times"/>
          <w:i/>
          <w:iCs/>
        </w:rPr>
      </w:pPr>
      <w:r>
        <w:rPr>
          <w:rFonts w:cs="Times"/>
          <w:i/>
          <w:iCs/>
        </w:rPr>
        <w:t>Note: Other signals present in the transmission burst may also be used for the purpose of detection of the transmission burst</w:t>
      </w:r>
    </w:p>
    <w:p>
      <w:pPr>
        <w:numPr>
          <w:ilvl w:val="0"/>
          <w:numId w:val="17"/>
        </w:numPr>
        <w:spacing w:after="0" w:line="264" w:lineRule="auto"/>
        <w:ind w:hanging="363"/>
        <w:jc w:val="both"/>
        <w:rPr>
          <w:rFonts w:cs="Times"/>
          <w:i/>
          <w:iCs/>
        </w:rPr>
      </w:pPr>
      <w:r>
        <w:rPr>
          <w:rFonts w:cs="Times"/>
          <w:i/>
          <w:iCs/>
        </w:rPr>
        <w:t>FFS: Potential enhancements to DMRS design to address issues with detection probability</w:t>
      </w:r>
    </w:p>
    <w:p>
      <w:pPr>
        <w:widowControl/>
        <w:numPr>
          <w:ilvl w:val="0"/>
          <w:numId w:val="16"/>
        </w:numPr>
        <w:autoSpaceDE/>
        <w:autoSpaceDN/>
        <w:adjustRightInd/>
        <w:spacing w:before="0" w:after="0" w:line="264" w:lineRule="auto"/>
        <w:ind w:hanging="363"/>
        <w:jc w:val="both"/>
        <w:rPr>
          <w:rFonts w:eastAsia="Times New Roman" w:cs="Times"/>
          <w:i/>
          <w:iCs/>
          <w:sz w:val="20"/>
          <w:szCs w:val="20"/>
          <w:lang w:val="en-US" w:eastAsia="zh-CN"/>
        </w:rPr>
      </w:pPr>
      <w:r>
        <w:rPr>
          <w:rFonts w:cs="Times"/>
          <w:i/>
          <w:iCs/>
          <w:sz w:val="20"/>
          <w:szCs w:val="20"/>
        </w:rPr>
        <w:t>The payload of a PDCCH and/or GC-PDCCH transmission can contain information regarding COT structure that may be used by the UE for power saving</w:t>
      </w:r>
    </w:p>
    <w:p>
      <w:pPr>
        <w:widowControl w:val="0"/>
        <w:autoSpaceDE w:val="0"/>
        <w:autoSpaceDN w:val="0"/>
        <w:adjustRightInd w:val="0"/>
        <w:spacing w:before="180"/>
        <w:jc w:val="both"/>
        <w:rPr>
          <w:rFonts w:hint="eastAsia" w:eastAsia="宋体"/>
          <w:lang w:val="en-US" w:eastAsia="zh-CN"/>
        </w:rPr>
      </w:pPr>
      <w:r>
        <w:rPr>
          <w:rFonts w:eastAsia="宋体"/>
          <w:lang w:val="en-US" w:eastAsia="zh-CN"/>
        </w:rPr>
        <w:t xml:space="preserve">In this contribution, </w:t>
      </w:r>
      <w:r>
        <w:rPr>
          <w:rFonts w:hint="eastAsia" w:eastAsia="宋体"/>
          <w:lang w:val="en-US" w:eastAsia="zh-CN"/>
        </w:rPr>
        <w:t>we discuss remaining issues of DL reference signals and physical layer channels design for</w:t>
      </w:r>
      <w:r>
        <w:rPr>
          <w:rFonts w:hint="eastAsia" w:eastAsia="宋体"/>
          <w:bCs/>
          <w:lang w:val="en-US" w:eastAsia="zh-CN"/>
        </w:rPr>
        <w:t xml:space="preserve"> </w:t>
      </w:r>
      <w:r>
        <w:rPr>
          <w:rFonts w:hint="eastAsia" w:eastAsia="宋体"/>
          <w:lang w:val="en-US" w:eastAsia="zh-CN"/>
        </w:rPr>
        <w:t>NR-U, including PDSCH transmission, dynamic PDCCH</w:t>
      </w:r>
      <w:r>
        <w:rPr>
          <w:rFonts w:eastAsia="宋体"/>
          <w:lang w:val="en-US" w:eastAsia="zh-CN"/>
        </w:rPr>
        <w:t xml:space="preserve"> monitoring</w:t>
      </w:r>
      <w:r>
        <w:rPr>
          <w:rFonts w:hint="eastAsia" w:eastAsia="宋体"/>
          <w:lang w:val="en-US" w:eastAsia="zh-CN"/>
        </w:rPr>
        <w:t xml:space="preserve"> for LBE, COT detection for FBE, COT structure indication, CSI-RS, and DMRS sequence generation.</w:t>
      </w:r>
    </w:p>
    <w:p>
      <w:pPr>
        <w:pStyle w:val="2"/>
        <w:jc w:val="both"/>
        <w:rPr>
          <w:rFonts w:eastAsia="宋体" w:cs="Arial"/>
          <w:b/>
          <w:sz w:val="28"/>
          <w:szCs w:val="28"/>
          <w:lang w:eastAsia="zh-CN"/>
        </w:rPr>
      </w:pPr>
      <w:r>
        <w:rPr>
          <w:rFonts w:hint="eastAsia" w:eastAsia="宋体" w:cs="Arial"/>
          <w:b/>
          <w:sz w:val="28"/>
          <w:szCs w:val="28"/>
          <w:lang w:val="en-US" w:eastAsia="zh-CN"/>
        </w:rPr>
        <w:t xml:space="preserve"> DL reference signals and physical channels design</w:t>
      </w:r>
    </w:p>
    <w:p>
      <w:pPr>
        <w:pStyle w:val="3"/>
        <w:jc w:val="both"/>
        <w:rPr>
          <w:rFonts w:eastAsia="宋体" w:cs="Arial"/>
          <w:b/>
          <w:sz w:val="24"/>
          <w:szCs w:val="24"/>
          <w:lang w:val="en-US" w:eastAsia="zh-CN"/>
        </w:rPr>
      </w:pPr>
      <w:r>
        <w:rPr>
          <w:rFonts w:hint="eastAsia" w:eastAsia="宋体" w:cs="Arial"/>
          <w:b/>
          <w:sz w:val="24"/>
          <w:szCs w:val="24"/>
          <w:lang w:val="en-US" w:eastAsia="zh-CN"/>
        </w:rPr>
        <w:t xml:space="preserve"> PDSCH transmission</w:t>
      </w:r>
    </w:p>
    <w:p>
      <w:pPr>
        <w:jc w:val="both"/>
        <w:rPr>
          <w:rFonts w:eastAsia="宋体"/>
          <w:lang w:eastAsia="zh-CN"/>
        </w:rPr>
      </w:pPr>
      <w:r>
        <w:rPr>
          <w:rFonts w:hint="eastAsia" w:ascii="Times New Roman" w:hAnsi="Times New Roman" w:eastAsia="宋体"/>
          <w:b w:val="0"/>
          <w:lang w:val="en-US" w:eastAsia="zh-CN"/>
        </w:rPr>
        <w:t xml:space="preserve">For PDSCH transmission, </w:t>
      </w:r>
      <w:r>
        <w:rPr>
          <w:rFonts w:hint="eastAsia" w:eastAsia="宋体"/>
          <w:b w:val="0"/>
          <w:lang w:val="en-US" w:eastAsia="zh-CN"/>
        </w:rPr>
        <w:t xml:space="preserve">additional durations </w:t>
      </w:r>
      <w:r>
        <w:t xml:space="preserve">from 2 to 13 </w:t>
      </w:r>
      <w:r>
        <w:rPr>
          <w:rFonts w:hint="eastAsia" w:eastAsia="宋体"/>
          <w:lang w:val="en-US" w:eastAsia="zh-CN"/>
        </w:rPr>
        <w:t xml:space="preserve">symbols </w:t>
      </w:r>
      <w:r>
        <w:t xml:space="preserve">(other than 2, 4 and 7 which are already supported in Rel-15) for PDSCH mapping type B </w:t>
      </w:r>
      <w:r>
        <w:rPr>
          <w:rFonts w:hint="eastAsia" w:eastAsia="宋体"/>
          <w:lang w:val="en-US" w:eastAsia="zh-CN"/>
        </w:rPr>
        <w:t>has been</w:t>
      </w:r>
      <w:r>
        <w:t xml:space="preserve"> supported</w:t>
      </w:r>
      <w:r>
        <w:rPr>
          <w:rFonts w:hint="eastAsia" w:eastAsia="宋体"/>
          <w:lang w:val="en-US" w:eastAsia="zh-CN"/>
        </w:rPr>
        <w:t xml:space="preserve"> in RAN1 #97 meeting, which duration are supported depend on UE</w:t>
      </w:r>
      <w:r>
        <w:rPr>
          <w:rFonts w:hint="default" w:eastAsia="宋体"/>
          <w:lang w:val="en-US" w:eastAsia="zh-CN"/>
        </w:rPr>
        <w:t>’</w:t>
      </w:r>
      <w:r>
        <w:rPr>
          <w:rFonts w:hint="eastAsia" w:eastAsia="宋体"/>
          <w:lang w:val="en-US" w:eastAsia="zh-CN"/>
        </w:rPr>
        <w:t>s c</w:t>
      </w:r>
      <w:r>
        <w:t>apability</w:t>
      </w:r>
      <w:r>
        <w:rPr>
          <w:rFonts w:hint="eastAsia" w:eastAsia="宋体"/>
          <w:lang w:val="en-US" w:eastAsia="zh-CN"/>
        </w:rPr>
        <w:t>. C</w:t>
      </w:r>
      <w:r>
        <w:t xml:space="preserve">apability signaling will be defined for UEs to indicate which specific subset of durations </w:t>
      </w:r>
      <w:r>
        <w:rPr>
          <w:rFonts w:hint="eastAsia" w:eastAsia="宋体"/>
          <w:lang w:val="en-US" w:eastAsia="zh-CN"/>
        </w:rPr>
        <w:t>is</w:t>
      </w:r>
      <w:r>
        <w:t xml:space="preserve"> supported by the UE</w:t>
      </w:r>
      <w:r>
        <w:rPr>
          <w:rFonts w:hint="eastAsia" w:eastAsia="宋体"/>
          <w:lang w:val="en-US" w:eastAsia="zh-CN"/>
        </w:rPr>
        <w:t xml:space="preserve">. Meanwhile, </w:t>
      </w:r>
      <w:r>
        <w:rPr>
          <w:rFonts w:hint="eastAsia" w:ascii="Times New Roman" w:hAnsi="Times New Roman" w:eastAsia="宋体"/>
          <w:b w:val="0"/>
          <w:lang w:val="en-US" w:eastAsia="zh-CN"/>
        </w:rPr>
        <w:t>below four FFSs</w:t>
      </w:r>
      <w:r>
        <w:rPr>
          <w:rFonts w:hint="eastAsia" w:ascii="Times New Roman" w:hAnsi="Times New Roman"/>
          <w:b w:val="0"/>
          <w:lang w:val="en-US"/>
        </w:rPr>
        <w:t xml:space="preserve"> </w:t>
      </w:r>
      <w:r>
        <w:rPr>
          <w:rFonts w:hint="eastAsia" w:eastAsia="宋体"/>
          <w:b w:val="0"/>
          <w:lang w:val="en-US" w:eastAsia="zh-CN"/>
        </w:rPr>
        <w:t xml:space="preserve">left in the same meeting </w:t>
      </w:r>
      <w:r>
        <w:rPr>
          <w:rFonts w:hint="eastAsia" w:ascii="Times New Roman" w:hAnsi="Times New Roman"/>
          <w:b w:val="0"/>
          <w:lang w:val="en-US"/>
        </w:rPr>
        <w:t xml:space="preserve">still needs to be </w:t>
      </w:r>
      <w:r>
        <w:rPr>
          <w:rFonts w:hint="eastAsia" w:ascii="Times New Roman" w:hAnsi="Times New Roman" w:eastAsia="宋体"/>
          <w:b w:val="0"/>
          <w:lang w:val="en-US" w:eastAsia="zh-CN"/>
        </w:rPr>
        <w:t>discuss</w:t>
      </w:r>
      <w:r>
        <w:rPr>
          <w:rFonts w:hint="eastAsia" w:ascii="Times New Roman" w:hAnsi="Times New Roman"/>
          <w:b w:val="0"/>
          <w:lang w:val="en-US"/>
        </w:rPr>
        <w:t>ed</w:t>
      </w:r>
      <w:r>
        <w:rPr>
          <w:rFonts w:hint="eastAsia" w:eastAsia="宋体"/>
          <w:b w:val="0"/>
          <w:lang w:val="en-US" w:eastAsia="zh-CN"/>
        </w:rPr>
        <w:t xml:space="preserve"> and clarified</w:t>
      </w:r>
      <w:r>
        <w:rPr>
          <w:rFonts w:hint="eastAsia" w:ascii="Times New Roman" w:hAnsi="Times New Roman" w:eastAsia="宋体"/>
          <w:b w:val="0"/>
          <w:lang w:val="en-US" w:eastAsia="zh-CN"/>
        </w:rPr>
        <w:t>.</w:t>
      </w:r>
    </w:p>
    <w:p>
      <w:pPr>
        <w:numPr>
          <w:ilvl w:val="0"/>
          <w:numId w:val="14"/>
        </w:numPr>
        <w:spacing w:after="0" w:line="260" w:lineRule="auto"/>
        <w:rPr>
          <w:i/>
          <w:iCs/>
        </w:rPr>
      </w:pPr>
      <w:r>
        <w:rPr>
          <w:i/>
          <w:iCs/>
        </w:rPr>
        <w:t>FFS: A duration of 14</w:t>
      </w:r>
    </w:p>
    <w:p>
      <w:pPr>
        <w:numPr>
          <w:ilvl w:val="0"/>
          <w:numId w:val="14"/>
        </w:numPr>
        <w:spacing w:after="0" w:line="260" w:lineRule="auto"/>
        <w:rPr>
          <w:i/>
          <w:iCs/>
        </w:rPr>
      </w:pPr>
      <w:r>
        <w:rPr>
          <w:i/>
          <w:iCs/>
        </w:rPr>
        <w:t>FFS: DMRS aspects for the additional durations (Reuse Rel-15 patterns or define new patterns for these additional durations)</w:t>
      </w:r>
    </w:p>
    <w:p>
      <w:pPr>
        <w:numPr>
          <w:ilvl w:val="0"/>
          <w:numId w:val="14"/>
        </w:numPr>
        <w:spacing w:after="0" w:line="260" w:lineRule="auto"/>
        <w:rPr>
          <w:i/>
          <w:iCs/>
        </w:rPr>
      </w:pPr>
      <w:r>
        <w:rPr>
          <w:i/>
          <w:iCs/>
        </w:rPr>
        <w:t>FFS: Some duration(s) are mandatory for the UE to support for initial access</w:t>
      </w:r>
    </w:p>
    <w:p>
      <w:pPr>
        <w:numPr>
          <w:ilvl w:val="0"/>
          <w:numId w:val="14"/>
        </w:numPr>
        <w:rPr>
          <w:i/>
          <w:iCs/>
        </w:rPr>
      </w:pPr>
      <w:r>
        <w:rPr>
          <w:i/>
          <w:iCs/>
        </w:rPr>
        <w:t xml:space="preserve">FFS: PDSCH processing times for the new durations (reuse the values for durations of 2/4/7 or define new ones) </w:t>
      </w:r>
    </w:p>
    <w:p>
      <w:pPr>
        <w:jc w:val="both"/>
        <w:rPr>
          <w:rFonts w:hint="eastAsia" w:eastAsia="宋体"/>
          <w:lang w:val="en-US" w:eastAsia="zh-CN"/>
        </w:rPr>
      </w:pPr>
      <w:r>
        <w:rPr>
          <w:rFonts w:hint="eastAsia" w:eastAsia="宋体"/>
          <w:lang w:val="en-US" w:eastAsia="zh-CN"/>
        </w:rPr>
        <w:t xml:space="preserve">For the first FFS of PDSCH duration of 14 symbols, considering a gap is needed for performing CCA and PDSCH mapping type A has already supported duration of 14 symbols, we think that a duration of 14 symbols for PDSCH mapping type B is not necessary to be supported. </w:t>
      </w:r>
    </w:p>
    <w:p>
      <w:pPr>
        <w:numPr>
          <w:ilvl w:val="255"/>
          <w:numId w:val="0"/>
        </w:numPr>
        <w:jc w:val="both"/>
        <w:rPr>
          <w:rFonts w:hint="eastAsia" w:eastAsia="宋体"/>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 xml:space="preserve">: </w:t>
      </w:r>
      <w:r>
        <w:rPr>
          <w:rFonts w:hint="eastAsia" w:eastAsia="宋体"/>
          <w:b w:val="0"/>
          <w:bCs/>
          <w:i/>
          <w:iCs/>
          <w:lang w:val="en-US" w:eastAsia="zh-CN"/>
        </w:rPr>
        <w:t>No need to support a duration of 14 symbols for PDSCH mappin</w:t>
      </w:r>
      <w:r>
        <w:rPr>
          <w:rFonts w:hint="eastAsia" w:eastAsia="宋体"/>
          <w:i/>
          <w:iCs/>
          <w:lang w:val="en-US" w:eastAsia="zh-CN"/>
        </w:rPr>
        <w:t>g type B in NR-U.</w:t>
      </w:r>
    </w:p>
    <w:p>
      <w:pPr>
        <w:jc w:val="both"/>
        <w:rPr>
          <w:rFonts w:hint="eastAsia" w:eastAsia="宋体"/>
          <w:lang w:val="en-US" w:eastAsia="zh-CN"/>
        </w:rPr>
      </w:pPr>
      <w:r>
        <w:rPr>
          <w:rFonts w:hint="eastAsia" w:eastAsia="宋体"/>
          <w:lang w:val="en-US" w:eastAsia="zh-CN"/>
        </w:rPr>
        <w:t>In RAN1 #98 meeting, RAN1 has defined DMRS positions for PDSCH mapping Type B of length 9 and 10. For the other additional durations other than length 9/10, reusing DMRS patterns with the same durations of PUSCH mapping type B in Rel-15 can be considered. DMRS</w:t>
      </w:r>
      <w:r>
        <w:rPr>
          <w:rFonts w:hint="default" w:eastAsia="宋体"/>
          <w:lang w:val="en-US" w:eastAsia="zh-CN"/>
        </w:rPr>
        <w:t xml:space="preserve"> patterns </w:t>
      </w:r>
      <w:r>
        <w:rPr>
          <w:rFonts w:hint="eastAsia" w:eastAsia="宋体"/>
          <w:lang w:val="en-US" w:eastAsia="zh-CN"/>
        </w:rPr>
        <w:t xml:space="preserve">for PDSCH mapping type B </w:t>
      </w:r>
      <w:r>
        <w:rPr>
          <w:rFonts w:hint="default" w:eastAsia="宋体"/>
          <w:lang w:val="en-US" w:eastAsia="zh-CN"/>
        </w:rPr>
        <w:t xml:space="preserve">corresponding to all </w:t>
      </w:r>
      <w:r>
        <w:rPr>
          <w:rFonts w:hint="eastAsia" w:eastAsia="宋体"/>
          <w:lang w:val="en-US" w:eastAsia="zh-CN"/>
        </w:rPr>
        <w:t xml:space="preserve">durations from 2 to 13 symbols </w:t>
      </w:r>
      <w:r>
        <w:rPr>
          <w:rFonts w:hint="default" w:eastAsia="宋体"/>
          <w:lang w:val="en-US" w:eastAsia="zh-CN"/>
        </w:rPr>
        <w:t>are summarized in Table 1</w:t>
      </w:r>
      <w:r>
        <w:rPr>
          <w:rFonts w:hint="eastAsia" w:eastAsia="宋体"/>
          <w:lang w:val="en-US" w:eastAsia="zh-CN"/>
        </w:rPr>
        <w:t xml:space="preserve"> and Table 2. The highlighted yellow part indicates the DMRS patterns used for the new lengths except for 9/10. The highlighted green part indicates the DMRS patterns used for length 9 and 10.</w:t>
      </w:r>
    </w:p>
    <w:p>
      <w:pPr>
        <w:numPr>
          <w:ilvl w:val="255"/>
          <w:numId w:val="0"/>
        </w:numPr>
        <w:jc w:val="both"/>
        <w:rPr>
          <w:rFonts w:hint="eastAsia" w:eastAsia="宋体"/>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 xml:space="preserve">: </w:t>
      </w:r>
      <w:r>
        <w:rPr>
          <w:rFonts w:hint="eastAsia" w:eastAsia="宋体"/>
          <w:i/>
          <w:iCs/>
          <w:lang w:val="en-US" w:eastAsia="zh-CN"/>
        </w:rPr>
        <w:t xml:space="preserve">For additional durations from 2 to 13 symbols (other than length 2/4/7 and 9/10) for PDSCH mapping type B in NR-U, </w:t>
      </w:r>
      <w:r>
        <w:rPr>
          <w:i/>
          <w:iCs/>
        </w:rPr>
        <w:t xml:space="preserve">DMRS </w:t>
      </w:r>
      <w:r>
        <w:rPr>
          <w:rFonts w:hint="eastAsia" w:eastAsia="宋体"/>
          <w:i/>
          <w:iCs/>
          <w:lang w:val="en-US" w:eastAsia="zh-CN"/>
        </w:rPr>
        <w:t>positions</w:t>
      </w:r>
      <w:r>
        <w:rPr>
          <w:i/>
          <w:iCs/>
        </w:rPr>
        <w:t xml:space="preserve"> </w:t>
      </w:r>
      <w:r>
        <w:rPr>
          <w:rFonts w:hint="eastAsia" w:eastAsia="宋体"/>
          <w:i/>
          <w:iCs/>
          <w:lang w:val="en-US" w:eastAsia="zh-CN"/>
        </w:rPr>
        <w:t>can reuse DMRS patterns of PUSCH mapping type B with the same durations in Rel-15.</w:t>
      </w:r>
    </w:p>
    <w:p>
      <w:pPr>
        <w:pStyle w:val="14"/>
        <w:spacing w:before="0" w:after="180" w:line="260" w:lineRule="auto"/>
        <w:jc w:val="center"/>
      </w:pPr>
      <w:r>
        <w:t xml:space="preserve">Table </w:t>
      </w:r>
      <w:r>
        <w:fldChar w:fldCharType="begin"/>
      </w:r>
      <w:r>
        <w:instrText xml:space="preserve"> SEQ Table \* ARABIC </w:instrText>
      </w:r>
      <w:r>
        <w:fldChar w:fldCharType="separate"/>
      </w:r>
      <w:r>
        <w:t>1</w:t>
      </w:r>
      <w:r>
        <w:fldChar w:fldCharType="end"/>
      </w:r>
      <w:r>
        <w:rPr>
          <w:rFonts w:hint="eastAsia" w:eastAsia="宋体"/>
          <w:lang w:val="en-US" w:eastAsia="zh-CN"/>
        </w:rPr>
        <w:t>:</w:t>
      </w:r>
      <w:r>
        <w:t xml:space="preserve"> PDSCH DMRS positions </w:t>
      </w:r>
      <w:r>
        <w:rPr>
          <w:position w:val="-6"/>
        </w:rPr>
        <w:object>
          <v:shape id="_x0000_i1031" o:spt="75" type="#_x0000_t75" style="height:15.2pt;width:8.1pt;" o:ole="t" filled="f" o:preferrelative="t" stroked="f" coordsize="21600,21600">
            <v:path/>
            <v:fill on="f" focussize="0,0"/>
            <v:stroke on="f" joinstyle="miter"/>
            <v:imagedata r:id="rId8" o:title=""/>
            <o:lock v:ext="edit" aspectratio="t"/>
            <w10:wrap type="none"/>
            <w10:anchorlock/>
          </v:shape>
          <o:OLEObject Type="Embed" ProgID="Equation.3" ShapeID="_x0000_i1031" DrawAspect="Content" ObjectID="_1468075727" r:id="rId11">
            <o:LockedField>false</o:LockedField>
          </o:OLEObject>
        </w:object>
      </w:r>
      <w:r>
        <w:t xml:space="preserve"> for single-symbol DM-RS</w:t>
      </w:r>
    </w:p>
    <w:tbl>
      <w:tblPr>
        <w:tblStyle w:val="30"/>
        <w:tblW w:w="45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645"/>
        <w:gridCol w:w="850"/>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2" w:hRule="atLeast"/>
          <w:jc w:val="center"/>
        </w:trPr>
        <w:tc>
          <w:tcPr>
            <w:tcW w:w="956" w:type="dxa"/>
            <w:vMerge w:val="restart"/>
            <w:shd w:val="clear" w:color="auto" w:fill="auto"/>
          </w:tcPr>
          <w:p>
            <w:pPr>
              <w:pStyle w:val="45"/>
              <w:rPr>
                <w:rFonts w:eastAsia="Batang"/>
              </w:rPr>
            </w:pPr>
            <m:oMath>
              <m:sSub>
                <m:sSubPr>
                  <m:ctrlPr>
                    <w:rPr>
                      <w:rFonts w:ascii="Cambria Math" w:hAnsi="Cambria Math"/>
                      <w:b w:val="0"/>
                      <w:i/>
                      <w:sz w:val="20"/>
                    </w:rPr>
                  </m:ctrlPr>
                </m:sSubPr>
                <m:e>
                  <m:r>
                    <m:rPr>
                      <m:sty m:val="bi"/>
                    </m:rPr>
                    <w:rPr>
                      <w:rFonts w:ascii="Cambria Math" w:hAnsi="Cambria Math"/>
                    </w:rPr>
                    <m:t>l</m:t>
                  </m:r>
                  <m:ctrlPr>
                    <w:rPr>
                      <w:rFonts w:ascii="Cambria Math" w:hAnsi="Cambria Math"/>
                      <w:b w:val="0"/>
                      <w:i/>
                      <w:sz w:val="20"/>
                    </w:rPr>
                  </m:ctrlPr>
                </m:e>
                <m:sub>
                  <m:r>
                    <m:rPr>
                      <m:nor/>
                      <m:sty m:val="p"/>
                    </m:rPr>
                    <w:rPr>
                      <w:rFonts w:ascii="Cambria Math" w:hAnsi="Cambria Math"/>
                      <w:b w:val="0"/>
                      <w:i w:val="0"/>
                    </w:rPr>
                    <m:t>d</m:t>
                  </m:r>
                  <m:ctrlPr>
                    <w:rPr>
                      <w:rFonts w:ascii="Cambria Math" w:hAnsi="Cambria Math"/>
                      <w:b w:val="0"/>
                      <w:i/>
                      <w:sz w:val="20"/>
                    </w:rPr>
                  </m:ctrlPr>
                </m:sub>
              </m:sSub>
            </m:oMath>
            <w:r>
              <w:rPr>
                <w:rFonts w:eastAsia="Batang"/>
                <w:b w:val="0"/>
                <w:sz w:val="20"/>
              </w:rPr>
              <w:t xml:space="preserve"> </w:t>
            </w:r>
            <w:r>
              <w:rPr>
                <w:rFonts w:eastAsia="Batang"/>
              </w:rPr>
              <w:t xml:space="preserve"> in symbols</w:t>
            </w:r>
          </w:p>
        </w:tc>
        <w:tc>
          <w:tcPr>
            <w:tcW w:w="3622" w:type="dxa"/>
            <w:gridSpan w:val="4"/>
            <w:shd w:val="clear" w:color="auto" w:fill="auto"/>
          </w:tcPr>
          <w:p>
            <w:pPr>
              <w:pStyle w:val="45"/>
              <w:rPr>
                <w:position w:val="-10"/>
              </w:rPr>
            </w:pPr>
            <w:r>
              <w:rPr>
                <w:rFonts w:eastAsia="Batang"/>
              </w:rPr>
              <w:t xml:space="preserve">DM-RS positions </w:t>
            </w:r>
            <w:r>
              <w:rPr>
                <w:rFonts w:eastAsia="Batang"/>
                <w:position w:val="-6"/>
              </w:rPr>
              <w:object>
                <v:shape id="_x0000_i1032" o:spt="75" type="#_x0000_t75" style="height:14.8pt;width:8pt;" o:ole="t" filled="f" o:preferrelative="t" stroked="f" coordsize="21600,21600">
                  <v:path/>
                  <v:fill on="f" focussize="0,0"/>
                  <v:stroke on="f" joinstyle="miter"/>
                  <v:imagedata r:id="rId8" o:title=""/>
                  <o:lock v:ext="edit" aspectratio="t"/>
                  <w10:wrap type="none"/>
                  <w10:anchorlock/>
                </v:shape>
                <o:OLEObject Type="Embed" ProgID="Equation.3" ShapeID="_x0000_i1032" DrawAspect="Content" ObjectID="_1468075728" r:id="rId12">
                  <o:LockedField>false</o:LockedField>
                </o:OLEObject>
              </w:object>
            </w:r>
          </w:p>
          <w:p>
            <w:pPr>
              <w:pStyle w:val="45"/>
              <w:rPr>
                <w:position w:val="-10"/>
              </w:rPr>
            </w:pPr>
            <w:r>
              <w:rPr>
                <w:rFonts w:eastAsia="Batang"/>
              </w:rPr>
              <w:t>PDSCH mapping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vMerge w:val="continue"/>
            <w:shd w:val="clear" w:color="auto" w:fill="auto"/>
          </w:tcPr>
          <w:p>
            <w:pPr>
              <w:pStyle w:val="45"/>
              <w:rPr>
                <w:rFonts w:eastAsia="Batang"/>
              </w:rPr>
            </w:pPr>
          </w:p>
        </w:tc>
        <w:tc>
          <w:tcPr>
            <w:tcW w:w="3622" w:type="dxa"/>
            <w:gridSpan w:val="4"/>
            <w:tcBorders>
              <w:top w:val="single" w:color="auto" w:sz="4" w:space="0"/>
              <w:bottom w:val="nil"/>
            </w:tcBorders>
            <w:shd w:val="clear" w:color="auto" w:fill="auto"/>
          </w:tcPr>
          <w:p>
            <w:pPr>
              <w:pStyle w:val="45"/>
              <w:rPr>
                <w:position w:val="-10"/>
              </w:rPr>
            </w:pPr>
            <w:r>
              <w:rPr>
                <w:rFonts w:eastAsia="Batang"/>
                <w:i/>
              </w:rPr>
              <w:t>dmrs-AdditionalPosition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vMerge w:val="continue"/>
            <w:tcBorders>
              <w:right w:val="nil"/>
            </w:tcBorders>
            <w:shd w:val="clear" w:color="auto" w:fill="auto"/>
          </w:tcPr>
          <w:p>
            <w:pPr>
              <w:pStyle w:val="45"/>
              <w:rPr>
                <w:rFonts w:eastAsia="Batang"/>
              </w:rPr>
            </w:pPr>
          </w:p>
        </w:tc>
        <w:tc>
          <w:tcPr>
            <w:tcW w:w="645" w:type="dxa"/>
            <w:tcBorders>
              <w:top w:val="nil"/>
              <w:left w:val="single" w:color="auto" w:sz="4" w:space="0"/>
              <w:bottom w:val="single" w:color="auto" w:sz="4" w:space="0"/>
              <w:right w:val="single" w:color="auto" w:sz="4" w:space="0"/>
            </w:tcBorders>
            <w:shd w:val="clear" w:color="auto" w:fill="auto"/>
          </w:tcPr>
          <w:p>
            <w:pPr>
              <w:pStyle w:val="45"/>
              <w:rPr>
                <w:rFonts w:eastAsia="Batang"/>
                <w:i/>
              </w:rPr>
            </w:pPr>
            <w:r>
              <w:rPr>
                <w:rFonts w:eastAsia="Batang"/>
                <w:i/>
              </w:rPr>
              <w:t>0</w:t>
            </w:r>
          </w:p>
        </w:tc>
        <w:tc>
          <w:tcPr>
            <w:tcW w:w="850" w:type="dxa"/>
            <w:tcBorders>
              <w:top w:val="nil"/>
              <w:left w:val="single" w:color="auto" w:sz="4" w:space="0"/>
              <w:bottom w:val="single" w:color="auto" w:sz="4" w:space="0"/>
              <w:right w:val="single" w:color="auto" w:sz="4" w:space="0"/>
            </w:tcBorders>
            <w:shd w:val="clear" w:color="auto" w:fill="auto"/>
          </w:tcPr>
          <w:p>
            <w:pPr>
              <w:pStyle w:val="45"/>
              <w:rPr>
                <w:rFonts w:eastAsia="Batang"/>
                <w:i/>
              </w:rPr>
            </w:pPr>
            <w:r>
              <w:rPr>
                <w:rFonts w:eastAsia="Batang"/>
                <w:i/>
              </w:rPr>
              <w:t>1</w:t>
            </w:r>
          </w:p>
        </w:tc>
        <w:tc>
          <w:tcPr>
            <w:tcW w:w="993" w:type="dxa"/>
            <w:tcBorders>
              <w:top w:val="nil"/>
              <w:left w:val="single" w:color="auto" w:sz="4" w:space="0"/>
              <w:bottom w:val="single" w:color="auto" w:sz="4" w:space="0"/>
              <w:right w:val="single" w:color="auto" w:sz="4" w:space="0"/>
            </w:tcBorders>
            <w:shd w:val="clear" w:color="auto" w:fill="auto"/>
          </w:tcPr>
          <w:p>
            <w:pPr>
              <w:pStyle w:val="45"/>
              <w:rPr>
                <w:rFonts w:eastAsia="Batang"/>
                <w:i/>
              </w:rPr>
            </w:pPr>
            <w:r>
              <w:rPr>
                <w:rFonts w:eastAsia="Batang"/>
                <w:i/>
              </w:rPr>
              <w:t>2</w:t>
            </w:r>
          </w:p>
        </w:tc>
        <w:tc>
          <w:tcPr>
            <w:tcW w:w="1134" w:type="dxa"/>
            <w:tcBorders>
              <w:top w:val="nil"/>
              <w:left w:val="single" w:color="auto" w:sz="4" w:space="0"/>
              <w:bottom w:val="single" w:color="auto" w:sz="4" w:space="0"/>
              <w:right w:val="single" w:color="auto" w:sz="4" w:space="0"/>
            </w:tcBorders>
            <w:shd w:val="clear" w:color="auto" w:fill="auto"/>
          </w:tcPr>
          <w:p>
            <w:pPr>
              <w:pStyle w:val="45"/>
              <w:rPr>
                <w:rFonts w:eastAsia="Batang"/>
                <w:i/>
              </w:rPr>
            </w:pPr>
            <w:r>
              <w:rPr>
                <w:rFonts w:eastAsia="Batang"/>
                <w:i/>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FFFFFF" w:themeFill="background1"/>
          </w:tcPr>
          <w:p>
            <w:pPr>
              <w:pStyle w:val="61"/>
              <w:rPr>
                <w:rFonts w:eastAsia="Batang"/>
              </w:rPr>
            </w:pPr>
            <w:r>
              <w:rPr>
                <w:rFonts w:eastAsia="Batang"/>
              </w:rPr>
              <w:t>2</w:t>
            </w:r>
          </w:p>
        </w:tc>
        <w:tc>
          <w:tcPr>
            <w:tcW w:w="645" w:type="dxa"/>
            <w:tcBorders>
              <w:top w:val="single" w:color="auto" w:sz="4" w:space="0"/>
            </w:tcBorders>
            <w:shd w:val="clear" w:color="auto" w:fill="auto"/>
          </w:tcPr>
          <w:p>
            <w:pPr>
              <w:pStyle w:val="61"/>
              <w:rPr>
                <w:position w:val="-10"/>
              </w:rPr>
            </w:pPr>
            <w:r>
              <w:rPr>
                <w:position w:val="-10"/>
              </w:rPr>
              <w:drawing>
                <wp:inline distT="0" distB="0" distL="0" distR="0">
                  <wp:extent cx="93980" cy="181610"/>
                  <wp:effectExtent l="0" t="0" r="1270" b="6985"/>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tcBorders>
              <w:top w:val="single" w:color="auto" w:sz="4" w:space="0"/>
            </w:tcBorders>
            <w:shd w:val="clear" w:color="auto" w:fill="auto"/>
          </w:tcPr>
          <w:p>
            <w:pPr>
              <w:pStyle w:val="61"/>
              <w:rPr>
                <w:position w:val="-10"/>
              </w:rPr>
            </w:pPr>
            <w:r>
              <w:rPr>
                <w:position w:val="-10"/>
              </w:rPr>
              <w:drawing>
                <wp:inline distT="0" distB="0" distL="0" distR="0">
                  <wp:extent cx="93980" cy="181610"/>
                  <wp:effectExtent l="0" t="0" r="1270" b="6985"/>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993" w:type="dxa"/>
            <w:tcBorders>
              <w:top w:val="single" w:color="auto" w:sz="4" w:space="0"/>
            </w:tcBorders>
            <w:shd w:val="clear" w:color="auto" w:fill="FFFFFF" w:themeFill="background1"/>
          </w:tcPr>
          <w:p>
            <w:pPr>
              <w:pStyle w:val="61"/>
              <w:rPr>
                <w:position w:val="-10"/>
              </w:rPr>
            </w:pPr>
            <w:r>
              <w:rPr>
                <w:position w:val="-10"/>
              </w:rPr>
              <w:drawing>
                <wp:inline distT="0" distB="0" distL="0" distR="0">
                  <wp:extent cx="93980" cy="181610"/>
                  <wp:effectExtent l="0" t="0" r="1270" b="6985"/>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1134" w:type="dxa"/>
            <w:tcBorders>
              <w:top w:val="single" w:color="auto" w:sz="4" w:space="0"/>
            </w:tcBorders>
            <w:shd w:val="clear" w:color="auto" w:fill="FFFFFF" w:themeFill="background1"/>
          </w:tcPr>
          <w:p>
            <w:pPr>
              <w:pStyle w:val="61"/>
              <w:rPr>
                <w:position w:val="-10"/>
              </w:rPr>
            </w:pPr>
            <w:r>
              <w:rPr>
                <w:position w:val="-10"/>
              </w:rPr>
              <w:drawing>
                <wp:inline distT="0" distB="0" distL="0" distR="0">
                  <wp:extent cx="93980" cy="181610"/>
                  <wp:effectExtent l="0" t="0" r="1270" b="6985"/>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3</w:t>
            </w:r>
          </w:p>
        </w:tc>
        <w:tc>
          <w:tcPr>
            <w:tcW w:w="645" w:type="dxa"/>
            <w:tcBorders>
              <w:top w:val="single" w:color="auto" w:sz="4" w:space="0"/>
            </w:tcBorders>
            <w:shd w:val="clear" w:color="auto" w:fill="FFFF00"/>
          </w:tcPr>
          <w:p>
            <w:pPr>
              <w:pStyle w:val="61"/>
              <w:rPr>
                <w:rFonts w:eastAsia="Batang"/>
              </w:rPr>
            </w:pPr>
            <w:r>
              <w:rPr>
                <w:position w:val="-10"/>
              </w:rPr>
              <w:drawing>
                <wp:inline distT="0" distB="0" distL="0" distR="0">
                  <wp:extent cx="93980" cy="181610"/>
                  <wp:effectExtent l="0" t="0" r="1270" b="6985"/>
                  <wp:docPr id="26"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7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tcBorders>
              <w:top w:val="single" w:color="auto" w:sz="4" w:space="0"/>
            </w:tcBorders>
            <w:shd w:val="clear" w:color="auto" w:fill="FFFF00"/>
          </w:tcPr>
          <w:p>
            <w:pPr>
              <w:pStyle w:val="61"/>
            </w:pPr>
            <w:r>
              <w:rPr>
                <w:position w:val="-10"/>
              </w:rPr>
              <w:drawing>
                <wp:inline distT="0" distB="0" distL="0" distR="0">
                  <wp:extent cx="93980" cy="181610"/>
                  <wp:effectExtent l="0" t="0" r="1270" b="6985"/>
                  <wp:docPr id="27"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993" w:type="dxa"/>
            <w:tcBorders>
              <w:top w:val="single" w:color="auto" w:sz="4" w:space="0"/>
            </w:tcBorders>
            <w:shd w:val="clear" w:color="auto" w:fill="FFFF00"/>
          </w:tcPr>
          <w:p>
            <w:pPr>
              <w:pStyle w:val="61"/>
            </w:pPr>
            <w:r>
              <w:rPr>
                <w:position w:val="-10"/>
              </w:rPr>
              <w:drawing>
                <wp:inline distT="0" distB="0" distL="0" distR="0">
                  <wp:extent cx="93980" cy="181610"/>
                  <wp:effectExtent l="0" t="0" r="1270" b="6985"/>
                  <wp:docPr id="28"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1134" w:type="dxa"/>
            <w:tcBorders>
              <w:top w:val="single" w:color="auto" w:sz="4" w:space="0"/>
            </w:tcBorders>
            <w:shd w:val="clear" w:color="auto" w:fill="FFFF00"/>
          </w:tcPr>
          <w:p>
            <w:pPr>
              <w:pStyle w:val="61"/>
              <w:rPr>
                <w:rFonts w:eastAsia="Batang"/>
              </w:rPr>
            </w:pPr>
            <w:r>
              <w:rPr>
                <w:position w:val="-10"/>
              </w:rPr>
              <w:drawing>
                <wp:inline distT="0" distB="0" distL="0" distR="0">
                  <wp:extent cx="93980" cy="181610"/>
                  <wp:effectExtent l="0" t="0" r="1270" b="6985"/>
                  <wp:docPr id="29"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FFFFFF" w:themeFill="background1"/>
          </w:tcPr>
          <w:p>
            <w:pPr>
              <w:pStyle w:val="61"/>
              <w:rPr>
                <w:rFonts w:eastAsia="Batang"/>
              </w:rPr>
            </w:pPr>
            <w:r>
              <w:rPr>
                <w:rFonts w:eastAsia="Batang"/>
              </w:rPr>
              <w:t>4</w:t>
            </w:r>
          </w:p>
        </w:tc>
        <w:tc>
          <w:tcPr>
            <w:tcW w:w="645" w:type="dxa"/>
            <w:shd w:val="clear" w:color="auto" w:fill="auto"/>
          </w:tcPr>
          <w:p>
            <w:pPr>
              <w:pStyle w:val="61"/>
              <w:rPr>
                <w:rFonts w:eastAsia="Batang"/>
              </w:rPr>
            </w:pPr>
            <w:r>
              <w:rPr>
                <w:position w:val="-10"/>
              </w:rPr>
              <w:drawing>
                <wp:inline distT="0" distB="0" distL="0" distR="0">
                  <wp:extent cx="93980" cy="181610"/>
                  <wp:effectExtent l="0" t="0" r="1270" b="6985"/>
                  <wp:docPr id="30"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auto"/>
          </w:tcPr>
          <w:p>
            <w:pPr>
              <w:pStyle w:val="61"/>
            </w:pPr>
            <w:r>
              <w:rPr>
                <w:position w:val="-10"/>
              </w:rPr>
              <w:drawing>
                <wp:inline distT="0" distB="0" distL="0" distR="0">
                  <wp:extent cx="93980" cy="181610"/>
                  <wp:effectExtent l="0" t="0" r="1270" b="6985"/>
                  <wp:docPr id="31"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993" w:type="dxa"/>
            <w:shd w:val="clear" w:color="auto" w:fill="FFFFFF" w:themeFill="background1"/>
          </w:tcPr>
          <w:p>
            <w:pPr>
              <w:pStyle w:val="61"/>
            </w:pPr>
            <w:r>
              <w:rPr>
                <w:position w:val="-10"/>
              </w:rPr>
              <w:drawing>
                <wp:inline distT="0" distB="0" distL="0" distR="0">
                  <wp:extent cx="93980" cy="181610"/>
                  <wp:effectExtent l="0" t="0" r="1270" b="6985"/>
                  <wp:docPr id="32"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7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1134" w:type="dxa"/>
            <w:shd w:val="clear" w:color="auto" w:fill="FFFFFF" w:themeFill="background1"/>
          </w:tcPr>
          <w:p>
            <w:pPr>
              <w:pStyle w:val="61"/>
              <w:rPr>
                <w:rFonts w:eastAsia="Batang"/>
              </w:rPr>
            </w:pPr>
            <w:r>
              <w:rPr>
                <w:position w:val="-10"/>
              </w:rPr>
              <w:drawing>
                <wp:inline distT="0" distB="0" distL="0" distR="0">
                  <wp:extent cx="93980" cy="181610"/>
                  <wp:effectExtent l="0" t="0" r="1270" b="6985"/>
                  <wp:docPr id="33"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5</w:t>
            </w:r>
          </w:p>
        </w:tc>
        <w:tc>
          <w:tcPr>
            <w:tcW w:w="645" w:type="dxa"/>
            <w:shd w:val="clear" w:color="auto" w:fill="FFFF00"/>
          </w:tcPr>
          <w:p>
            <w:pPr>
              <w:pStyle w:val="61"/>
              <w:rPr>
                <w:rFonts w:eastAsia="Batang"/>
              </w:rPr>
            </w:pPr>
            <w:r>
              <w:rPr>
                <w:position w:val="-10"/>
              </w:rPr>
              <w:drawing>
                <wp:inline distT="0" distB="0" distL="0" distR="0">
                  <wp:extent cx="93980" cy="181610"/>
                  <wp:effectExtent l="0" t="0" r="1270" b="6985"/>
                  <wp:docPr id="34"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FFFF00"/>
          </w:tcPr>
          <w:p>
            <w:pPr>
              <w:pStyle w:val="61"/>
            </w:pPr>
            <w:r>
              <w:rPr>
                <w:position w:val="-10"/>
              </w:rPr>
              <w:drawing>
                <wp:inline distT="0" distB="0" distL="0" distR="0">
                  <wp:extent cx="93980" cy="181610"/>
                  <wp:effectExtent l="0" t="0" r="1270" b="6985"/>
                  <wp:docPr id="35"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7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c>
          <w:tcPr>
            <w:tcW w:w="993" w:type="dxa"/>
            <w:shd w:val="clear" w:color="auto" w:fill="FFFF00"/>
          </w:tcPr>
          <w:p>
            <w:pPr>
              <w:pStyle w:val="61"/>
            </w:pPr>
            <w:r>
              <w:rPr>
                <w:position w:val="-10"/>
              </w:rPr>
              <w:drawing>
                <wp:inline distT="0" distB="0" distL="0" distR="0">
                  <wp:extent cx="93980" cy="181610"/>
                  <wp:effectExtent l="0" t="0" r="1270" b="6985"/>
                  <wp:docPr id="36"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c>
          <w:tcPr>
            <w:tcW w:w="1134" w:type="dxa"/>
            <w:shd w:val="clear" w:color="auto" w:fill="FFFF00"/>
          </w:tcPr>
          <w:p>
            <w:pPr>
              <w:pStyle w:val="61"/>
              <w:rPr>
                <w:rFonts w:eastAsia="Batang"/>
              </w:rPr>
            </w:pPr>
            <w:r>
              <w:rPr>
                <w:position w:val="-10"/>
              </w:rPr>
              <w:drawing>
                <wp:inline distT="0" distB="0" distL="0" distR="0">
                  <wp:extent cx="93980" cy="181610"/>
                  <wp:effectExtent l="0" t="0" r="1270" b="6985"/>
                  <wp:docPr id="37"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7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FFFFFF" w:themeFill="background1"/>
          </w:tcPr>
          <w:p>
            <w:pPr>
              <w:pStyle w:val="61"/>
              <w:rPr>
                <w:rFonts w:eastAsia="Batang"/>
              </w:rPr>
            </w:pPr>
            <w:r>
              <w:rPr>
                <w:rFonts w:eastAsia="Batang"/>
              </w:rPr>
              <w:t>6</w:t>
            </w:r>
          </w:p>
        </w:tc>
        <w:tc>
          <w:tcPr>
            <w:tcW w:w="645" w:type="dxa"/>
            <w:shd w:val="clear" w:color="auto" w:fill="auto"/>
          </w:tcPr>
          <w:p>
            <w:pPr>
              <w:pStyle w:val="61"/>
              <w:rPr>
                <w:rFonts w:eastAsia="Batang"/>
              </w:rPr>
            </w:pPr>
            <w:r>
              <w:rPr>
                <w:position w:val="-10"/>
              </w:rPr>
              <w:drawing>
                <wp:inline distT="0" distB="0" distL="0" distR="0">
                  <wp:extent cx="93980" cy="181610"/>
                  <wp:effectExtent l="0" t="0" r="1270" b="6985"/>
                  <wp:docPr id="38"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auto"/>
          </w:tcPr>
          <w:p>
            <w:pPr>
              <w:pStyle w:val="61"/>
            </w:pPr>
            <w:r>
              <w:rPr>
                <w:position w:val="-10"/>
              </w:rPr>
              <w:drawing>
                <wp:inline distT="0" distB="0" distL="0" distR="0">
                  <wp:extent cx="93980" cy="181610"/>
                  <wp:effectExtent l="0" t="0" r="1270" b="6985"/>
                  <wp:docPr id="39"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c>
          <w:tcPr>
            <w:tcW w:w="993" w:type="dxa"/>
            <w:shd w:val="clear" w:color="auto" w:fill="FFFFFF" w:themeFill="background1"/>
          </w:tcPr>
          <w:p>
            <w:pPr>
              <w:pStyle w:val="61"/>
            </w:pPr>
            <w:r>
              <w:rPr>
                <w:position w:val="-10"/>
              </w:rPr>
              <w:drawing>
                <wp:inline distT="0" distB="0" distL="0" distR="0">
                  <wp:extent cx="93980" cy="181610"/>
                  <wp:effectExtent l="0" t="0" r="1270" b="6985"/>
                  <wp:docPr id="40"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7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c>
          <w:tcPr>
            <w:tcW w:w="1134" w:type="dxa"/>
            <w:shd w:val="clear" w:color="auto" w:fill="FFFFFF" w:themeFill="background1"/>
          </w:tcPr>
          <w:p>
            <w:pPr>
              <w:pStyle w:val="61"/>
              <w:rPr>
                <w:rFonts w:eastAsia="Batang"/>
              </w:rPr>
            </w:pPr>
            <w:r>
              <w:rPr>
                <w:position w:val="-10"/>
              </w:rPr>
              <w:drawing>
                <wp:inline distT="0" distB="0" distL="0" distR="0">
                  <wp:extent cx="93980" cy="181610"/>
                  <wp:effectExtent l="0" t="0" r="1270" b="6985"/>
                  <wp:docPr id="41"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7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FFFFFF" w:themeFill="background1"/>
          </w:tcPr>
          <w:p>
            <w:pPr>
              <w:pStyle w:val="61"/>
              <w:rPr>
                <w:rFonts w:eastAsia="Batang"/>
              </w:rPr>
            </w:pPr>
            <w:r>
              <w:rPr>
                <w:rFonts w:eastAsia="Batang"/>
              </w:rPr>
              <w:t>7</w:t>
            </w:r>
          </w:p>
        </w:tc>
        <w:tc>
          <w:tcPr>
            <w:tcW w:w="645" w:type="dxa"/>
            <w:shd w:val="clear" w:color="auto" w:fill="auto"/>
          </w:tcPr>
          <w:p>
            <w:pPr>
              <w:pStyle w:val="61"/>
              <w:rPr>
                <w:rFonts w:eastAsia="Batang"/>
              </w:rPr>
            </w:pPr>
            <w:r>
              <w:rPr>
                <w:position w:val="-10"/>
              </w:rPr>
              <w:drawing>
                <wp:inline distT="0" distB="0" distL="0" distR="0">
                  <wp:extent cx="93980" cy="181610"/>
                  <wp:effectExtent l="0" t="0" r="1270" b="6985"/>
                  <wp:docPr id="42"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7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auto"/>
          </w:tcPr>
          <w:p>
            <w:pPr>
              <w:pStyle w:val="61"/>
              <w:rPr>
                <w:rFonts w:eastAsia="Batang"/>
              </w:rPr>
            </w:pPr>
            <w:r>
              <w:rPr>
                <w:position w:val="-10"/>
              </w:rPr>
              <w:drawing>
                <wp:inline distT="0" distB="0" distL="0" distR="0">
                  <wp:extent cx="93980" cy="181610"/>
                  <wp:effectExtent l="0" t="0" r="1270" b="6985"/>
                  <wp:docPr id="43"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7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c>
          <w:tcPr>
            <w:tcW w:w="993" w:type="dxa"/>
            <w:shd w:val="clear" w:color="auto" w:fill="FFFFFF" w:themeFill="background1"/>
          </w:tcPr>
          <w:p>
            <w:pPr>
              <w:pStyle w:val="61"/>
              <w:rPr>
                <w:rFonts w:eastAsia="Batang"/>
              </w:rPr>
            </w:pPr>
            <w:r>
              <w:rPr>
                <w:position w:val="-10"/>
              </w:rPr>
              <w:drawing>
                <wp:inline distT="0" distB="0" distL="0" distR="0">
                  <wp:extent cx="93980" cy="181610"/>
                  <wp:effectExtent l="0" t="0" r="1270" b="6985"/>
                  <wp:docPr id="44"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c>
          <w:tcPr>
            <w:tcW w:w="1134" w:type="dxa"/>
            <w:shd w:val="clear" w:color="auto" w:fill="FFFFFF" w:themeFill="background1"/>
          </w:tcPr>
          <w:p>
            <w:pPr>
              <w:pStyle w:val="61"/>
              <w:rPr>
                <w:rFonts w:eastAsia="Batang"/>
              </w:rPr>
            </w:pPr>
            <w:r>
              <w:rPr>
                <w:position w:val="-10"/>
              </w:rPr>
              <w:drawing>
                <wp:inline distT="0" distB="0" distL="0" distR="0">
                  <wp:extent cx="93980" cy="181610"/>
                  <wp:effectExtent l="0" t="0" r="1270" b="6985"/>
                  <wp:docPr id="45"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8</w:t>
            </w:r>
          </w:p>
        </w:tc>
        <w:tc>
          <w:tcPr>
            <w:tcW w:w="645" w:type="dxa"/>
            <w:shd w:val="clear" w:color="auto" w:fill="FFFF00"/>
          </w:tcPr>
          <w:p>
            <w:pPr>
              <w:pStyle w:val="61"/>
              <w:rPr>
                <w:rFonts w:eastAsia="Batang"/>
              </w:rPr>
            </w:pPr>
            <w:r>
              <w:rPr>
                <w:position w:val="-10"/>
              </w:rPr>
              <w:drawing>
                <wp:inline distT="0" distB="0" distL="0" distR="0">
                  <wp:extent cx="93980" cy="181610"/>
                  <wp:effectExtent l="0" t="0" r="1270" b="6985"/>
                  <wp:docPr id="46"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7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FFFF00"/>
          </w:tcPr>
          <w:p>
            <w:pPr>
              <w:pStyle w:val="61"/>
              <w:rPr>
                <w:rFonts w:eastAsia="Batang"/>
              </w:rPr>
            </w:pPr>
            <w:r>
              <w:rPr>
                <w:position w:val="-10"/>
              </w:rPr>
              <w:drawing>
                <wp:inline distT="0" distB="0" distL="0" distR="0">
                  <wp:extent cx="93980" cy="181610"/>
                  <wp:effectExtent l="0" t="0" r="1270" b="6985"/>
                  <wp:docPr id="47"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6</w:t>
            </w:r>
          </w:p>
        </w:tc>
        <w:tc>
          <w:tcPr>
            <w:tcW w:w="993" w:type="dxa"/>
            <w:shd w:val="clear" w:color="auto" w:fill="FFFF00"/>
          </w:tcPr>
          <w:p>
            <w:pPr>
              <w:pStyle w:val="61"/>
              <w:rPr>
                <w:rFonts w:eastAsia="Batang"/>
              </w:rPr>
            </w:pPr>
            <w:r>
              <w:rPr>
                <w:position w:val="-10"/>
              </w:rPr>
              <w:drawing>
                <wp:inline distT="0" distB="0" distL="0" distR="0">
                  <wp:extent cx="93980" cy="181610"/>
                  <wp:effectExtent l="0" t="0" r="1270" b="6985"/>
                  <wp:docPr id="48"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7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3, 6</w:t>
            </w:r>
          </w:p>
        </w:tc>
        <w:tc>
          <w:tcPr>
            <w:tcW w:w="1134" w:type="dxa"/>
            <w:shd w:val="clear" w:color="auto" w:fill="FFFF00"/>
          </w:tcPr>
          <w:p>
            <w:pPr>
              <w:pStyle w:val="61"/>
              <w:rPr>
                <w:rFonts w:eastAsia="Batang"/>
              </w:rPr>
            </w:pPr>
            <w:r>
              <w:rPr>
                <w:position w:val="-10"/>
              </w:rPr>
              <w:drawing>
                <wp:inline distT="0" distB="0" distL="0" distR="0">
                  <wp:extent cx="93980" cy="181610"/>
                  <wp:effectExtent l="0" t="0" r="1270" b="6985"/>
                  <wp:docPr id="49"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7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9</w:t>
            </w:r>
          </w:p>
        </w:tc>
        <w:tc>
          <w:tcPr>
            <w:tcW w:w="645"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0"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7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1"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7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7</w:t>
            </w:r>
          </w:p>
        </w:tc>
        <w:tc>
          <w:tcPr>
            <w:tcW w:w="993"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2"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7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 7</w:t>
            </w:r>
          </w:p>
        </w:tc>
        <w:tc>
          <w:tcPr>
            <w:tcW w:w="1134"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3"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7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10</w:t>
            </w:r>
          </w:p>
        </w:tc>
        <w:tc>
          <w:tcPr>
            <w:tcW w:w="645"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4"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5"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7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7</w:t>
            </w:r>
          </w:p>
        </w:tc>
        <w:tc>
          <w:tcPr>
            <w:tcW w:w="993"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6"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 7</w:t>
            </w:r>
          </w:p>
        </w:tc>
        <w:tc>
          <w:tcPr>
            <w:tcW w:w="1134" w:type="dxa"/>
            <w:shd w:val="clear" w:color="auto" w:fill="A8D08D" w:themeFill="accent6" w:themeFillTint="99"/>
          </w:tcPr>
          <w:p>
            <w:pPr>
              <w:pStyle w:val="61"/>
              <w:rPr>
                <w:rFonts w:eastAsia="Batang"/>
              </w:rPr>
            </w:pPr>
            <w:r>
              <w:rPr>
                <w:position w:val="-10"/>
              </w:rPr>
              <w:drawing>
                <wp:inline distT="0" distB="0" distL="0" distR="0">
                  <wp:extent cx="93980" cy="181610"/>
                  <wp:effectExtent l="0" t="0" r="1270" b="6985"/>
                  <wp:docPr id="57"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7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11</w:t>
            </w:r>
          </w:p>
        </w:tc>
        <w:tc>
          <w:tcPr>
            <w:tcW w:w="645" w:type="dxa"/>
            <w:shd w:val="clear" w:color="auto" w:fill="FFFF00"/>
          </w:tcPr>
          <w:p>
            <w:pPr>
              <w:pStyle w:val="61"/>
              <w:rPr>
                <w:rFonts w:eastAsia="Batang"/>
              </w:rPr>
            </w:pPr>
            <w:r>
              <w:rPr>
                <w:position w:val="-10"/>
              </w:rPr>
              <w:drawing>
                <wp:inline distT="0" distB="0" distL="0" distR="0">
                  <wp:extent cx="93980" cy="181610"/>
                  <wp:effectExtent l="0" t="0" r="1270" b="6985"/>
                  <wp:docPr id="58"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76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FFFF00"/>
          </w:tcPr>
          <w:p>
            <w:pPr>
              <w:pStyle w:val="61"/>
              <w:rPr>
                <w:rFonts w:eastAsia="Batang"/>
              </w:rPr>
            </w:pPr>
            <w:r>
              <w:rPr>
                <w:position w:val="-10"/>
              </w:rPr>
              <w:drawing>
                <wp:inline distT="0" distB="0" distL="0" distR="0">
                  <wp:extent cx="93980" cy="181610"/>
                  <wp:effectExtent l="0" t="0" r="1270" b="6985"/>
                  <wp:docPr id="59"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76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8</w:t>
            </w:r>
          </w:p>
        </w:tc>
        <w:tc>
          <w:tcPr>
            <w:tcW w:w="993" w:type="dxa"/>
            <w:shd w:val="clear" w:color="auto" w:fill="FFFF00"/>
          </w:tcPr>
          <w:p>
            <w:pPr>
              <w:pStyle w:val="61"/>
              <w:rPr>
                <w:rFonts w:eastAsia="Batang"/>
              </w:rPr>
            </w:pPr>
            <w:r>
              <w:rPr>
                <w:position w:val="-10"/>
              </w:rPr>
              <w:drawing>
                <wp:inline distT="0" distB="0" distL="0" distR="0">
                  <wp:extent cx="93980" cy="181610"/>
                  <wp:effectExtent l="0" t="0" r="1270" b="6985"/>
                  <wp:docPr id="60"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7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4, 8</w:t>
            </w:r>
          </w:p>
        </w:tc>
        <w:tc>
          <w:tcPr>
            <w:tcW w:w="1134" w:type="dxa"/>
            <w:shd w:val="clear" w:color="auto" w:fill="FFFF00"/>
          </w:tcPr>
          <w:p>
            <w:pPr>
              <w:pStyle w:val="61"/>
              <w:rPr>
                <w:rFonts w:eastAsia="Batang"/>
              </w:rPr>
            </w:pPr>
            <w:r>
              <w:rPr>
                <w:position w:val="-10"/>
              </w:rPr>
              <w:drawing>
                <wp:inline distT="0" distB="0" distL="0" distR="0">
                  <wp:extent cx="93980" cy="181610"/>
                  <wp:effectExtent l="0" t="0" r="1270" b="6985"/>
                  <wp:docPr id="61"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7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12</w:t>
            </w:r>
          </w:p>
        </w:tc>
        <w:tc>
          <w:tcPr>
            <w:tcW w:w="645" w:type="dxa"/>
            <w:shd w:val="clear" w:color="auto" w:fill="FFFF00"/>
          </w:tcPr>
          <w:p>
            <w:pPr>
              <w:pStyle w:val="61"/>
              <w:rPr>
                <w:rFonts w:eastAsia="Batang"/>
              </w:rPr>
            </w:pPr>
            <w:r>
              <w:rPr>
                <w:position w:val="-10"/>
              </w:rPr>
              <w:drawing>
                <wp:inline distT="0" distB="0" distL="0" distR="0">
                  <wp:extent cx="93980" cy="181610"/>
                  <wp:effectExtent l="0" t="0" r="1270" b="6985"/>
                  <wp:docPr id="62"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7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FFFF00"/>
          </w:tcPr>
          <w:p>
            <w:pPr>
              <w:pStyle w:val="61"/>
              <w:rPr>
                <w:rFonts w:eastAsia="Batang"/>
              </w:rPr>
            </w:pPr>
            <w:r>
              <w:rPr>
                <w:position w:val="-10"/>
              </w:rPr>
              <w:drawing>
                <wp:inline distT="0" distB="0" distL="0" distR="0">
                  <wp:extent cx="93980" cy="181610"/>
                  <wp:effectExtent l="0" t="0" r="1270" b="6985"/>
                  <wp:docPr id="63"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10</w:t>
            </w:r>
          </w:p>
        </w:tc>
        <w:tc>
          <w:tcPr>
            <w:tcW w:w="993" w:type="dxa"/>
            <w:shd w:val="clear" w:color="auto" w:fill="FFFF00"/>
          </w:tcPr>
          <w:p>
            <w:pPr>
              <w:pStyle w:val="61"/>
              <w:rPr>
                <w:rFonts w:eastAsia="Batang"/>
              </w:rPr>
            </w:pPr>
            <w:r>
              <w:rPr>
                <w:position w:val="-10"/>
              </w:rPr>
              <w:drawing>
                <wp:inline distT="0" distB="0" distL="0" distR="0">
                  <wp:extent cx="93980" cy="181610"/>
                  <wp:effectExtent l="0" t="0" r="1270" b="6985"/>
                  <wp:docPr id="64"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5, 10</w:t>
            </w:r>
          </w:p>
        </w:tc>
        <w:tc>
          <w:tcPr>
            <w:tcW w:w="1134" w:type="dxa"/>
            <w:shd w:val="clear" w:color="auto" w:fill="FFFF00"/>
          </w:tcPr>
          <w:p>
            <w:pPr>
              <w:pStyle w:val="61"/>
              <w:rPr>
                <w:rFonts w:eastAsia="Batang"/>
              </w:rPr>
            </w:pPr>
            <w:r>
              <w:rPr>
                <w:position w:val="-10"/>
              </w:rPr>
              <w:drawing>
                <wp:inline distT="0" distB="0" distL="0" distR="0">
                  <wp:extent cx="93980" cy="181610"/>
                  <wp:effectExtent l="0" t="0" r="1270" b="6985"/>
                  <wp:docPr id="65"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6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13</w:t>
            </w:r>
          </w:p>
        </w:tc>
        <w:tc>
          <w:tcPr>
            <w:tcW w:w="645" w:type="dxa"/>
            <w:shd w:val="clear" w:color="auto" w:fill="FFFF00"/>
          </w:tcPr>
          <w:p>
            <w:pPr>
              <w:pStyle w:val="61"/>
              <w:rPr>
                <w:rFonts w:eastAsia="Batang"/>
              </w:rPr>
            </w:pPr>
            <w:r>
              <w:rPr>
                <w:position w:val="-10"/>
              </w:rPr>
              <w:drawing>
                <wp:inline distT="0" distB="0" distL="0" distR="0">
                  <wp:extent cx="93980" cy="181610"/>
                  <wp:effectExtent l="0" t="0" r="1270" b="6985"/>
                  <wp:docPr id="66"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0" w:type="dxa"/>
            <w:shd w:val="clear" w:color="auto" w:fill="FFFF00"/>
          </w:tcPr>
          <w:p>
            <w:pPr>
              <w:pStyle w:val="61"/>
              <w:rPr>
                <w:rFonts w:eastAsia="Batang"/>
              </w:rPr>
            </w:pPr>
            <w:r>
              <w:rPr>
                <w:position w:val="-10"/>
              </w:rPr>
              <w:drawing>
                <wp:inline distT="0" distB="0" distL="0" distR="0">
                  <wp:extent cx="93980" cy="181610"/>
                  <wp:effectExtent l="0" t="0" r="1270" b="6985"/>
                  <wp:docPr id="67"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7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10</w:t>
            </w:r>
          </w:p>
        </w:tc>
        <w:tc>
          <w:tcPr>
            <w:tcW w:w="993" w:type="dxa"/>
            <w:shd w:val="clear" w:color="auto" w:fill="FFFF00"/>
          </w:tcPr>
          <w:p>
            <w:pPr>
              <w:pStyle w:val="61"/>
              <w:rPr>
                <w:rFonts w:eastAsia="Batang"/>
              </w:rPr>
            </w:pPr>
            <w:r>
              <w:rPr>
                <w:position w:val="-10"/>
              </w:rPr>
              <w:drawing>
                <wp:inline distT="0" distB="0" distL="0" distR="0">
                  <wp:extent cx="93980" cy="181610"/>
                  <wp:effectExtent l="0" t="0" r="1270" b="6985"/>
                  <wp:docPr id="69"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7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5, 10</w:t>
            </w:r>
          </w:p>
        </w:tc>
        <w:tc>
          <w:tcPr>
            <w:tcW w:w="1134" w:type="dxa"/>
            <w:shd w:val="clear" w:color="auto" w:fill="FFFF00"/>
          </w:tcPr>
          <w:p>
            <w:pPr>
              <w:pStyle w:val="61"/>
              <w:rPr>
                <w:rFonts w:eastAsia="Batang"/>
              </w:rPr>
            </w:pPr>
            <w:r>
              <w:rPr>
                <w:position w:val="-10"/>
              </w:rPr>
              <w:drawing>
                <wp:inline distT="0" distB="0" distL="0" distR="0">
                  <wp:extent cx="93980" cy="181610"/>
                  <wp:effectExtent l="0" t="0" r="1270" b="6985"/>
                  <wp:docPr id="70"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7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t>, 3, 6,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6" w:type="dxa"/>
            <w:shd w:val="clear" w:color="auto" w:fill="auto"/>
          </w:tcPr>
          <w:p>
            <w:pPr>
              <w:pStyle w:val="61"/>
              <w:rPr>
                <w:rFonts w:eastAsia="Batang"/>
              </w:rPr>
            </w:pPr>
            <w:r>
              <w:rPr>
                <w:rFonts w:eastAsia="Batang"/>
              </w:rPr>
              <w:t>14</w:t>
            </w:r>
          </w:p>
        </w:tc>
        <w:tc>
          <w:tcPr>
            <w:tcW w:w="645" w:type="dxa"/>
            <w:shd w:val="clear" w:color="auto" w:fill="auto"/>
          </w:tcPr>
          <w:p>
            <w:pPr>
              <w:pStyle w:val="61"/>
              <w:rPr>
                <w:rFonts w:hint="eastAsia" w:eastAsia="宋体"/>
                <w:lang w:val="en-US" w:eastAsia="zh-CN"/>
              </w:rPr>
            </w:pPr>
            <w:r>
              <w:rPr>
                <w:rFonts w:hint="eastAsia"/>
                <w:lang w:val="en-US" w:eastAsia="zh-CN"/>
              </w:rPr>
              <w:t>-</w:t>
            </w:r>
          </w:p>
        </w:tc>
        <w:tc>
          <w:tcPr>
            <w:tcW w:w="850" w:type="dxa"/>
            <w:shd w:val="clear" w:color="auto" w:fill="auto"/>
          </w:tcPr>
          <w:p>
            <w:pPr>
              <w:pStyle w:val="61"/>
              <w:rPr>
                <w:rFonts w:hint="eastAsia" w:eastAsia="宋体"/>
                <w:lang w:val="en-US" w:eastAsia="zh-CN"/>
              </w:rPr>
            </w:pPr>
            <w:r>
              <w:rPr>
                <w:rFonts w:hint="eastAsia"/>
                <w:lang w:val="en-US" w:eastAsia="zh-CN"/>
              </w:rPr>
              <w:t>-</w:t>
            </w:r>
          </w:p>
        </w:tc>
        <w:tc>
          <w:tcPr>
            <w:tcW w:w="993" w:type="dxa"/>
            <w:shd w:val="clear" w:color="auto" w:fill="auto"/>
          </w:tcPr>
          <w:p>
            <w:pPr>
              <w:pStyle w:val="61"/>
              <w:rPr>
                <w:rFonts w:hint="eastAsia" w:eastAsia="宋体"/>
                <w:lang w:val="en-US" w:eastAsia="zh-CN"/>
              </w:rPr>
            </w:pPr>
            <w:r>
              <w:rPr>
                <w:rFonts w:hint="eastAsia"/>
                <w:lang w:val="en-US" w:eastAsia="zh-CN"/>
              </w:rPr>
              <w:t>-</w:t>
            </w:r>
          </w:p>
        </w:tc>
        <w:tc>
          <w:tcPr>
            <w:tcW w:w="1134" w:type="dxa"/>
            <w:shd w:val="clear" w:color="auto" w:fill="auto"/>
          </w:tcPr>
          <w:p>
            <w:pPr>
              <w:pStyle w:val="61"/>
              <w:rPr>
                <w:rFonts w:hint="eastAsia" w:eastAsia="宋体"/>
                <w:lang w:val="en-US" w:eastAsia="zh-CN"/>
              </w:rPr>
            </w:pPr>
            <w:r>
              <w:rPr>
                <w:rFonts w:hint="eastAsia"/>
                <w:lang w:val="en-US" w:eastAsia="zh-CN"/>
              </w:rPr>
              <w:t>-</w:t>
            </w:r>
          </w:p>
        </w:tc>
      </w:tr>
    </w:tbl>
    <w:p>
      <w:pPr>
        <w:pStyle w:val="14"/>
        <w:spacing w:before="137" w:beforeLines="50" w:after="180" w:line="260" w:lineRule="auto"/>
        <w:jc w:val="center"/>
      </w:pPr>
      <w:r>
        <w:t xml:space="preserve">Table </w:t>
      </w:r>
      <w:r>
        <w:rPr>
          <w:rFonts w:hint="eastAsia" w:eastAsia="宋体"/>
          <w:lang w:val="en-US" w:eastAsia="zh-CN"/>
        </w:rPr>
        <w:t>2:</w:t>
      </w:r>
      <w:r>
        <w:t xml:space="preserve"> PDSCH DMRS positions </w:t>
      </w:r>
      <w:r>
        <w:rPr>
          <w:position w:val="-6"/>
        </w:rPr>
        <w:object>
          <v:shape id="_x0000_i1033" o:spt="75" type="#_x0000_t75" style="height:15.2pt;width:8.1pt;" o:ole="t" filled="f" o:preferrelative="t" stroked="f" coordsize="21600,21600">
            <v:path/>
            <v:fill on="f" focussize="0,0"/>
            <v:stroke on="f" joinstyle="miter"/>
            <v:imagedata r:id="rId8" o:title=""/>
            <o:lock v:ext="edit" aspectratio="t"/>
            <w10:wrap type="none"/>
            <w10:anchorlock/>
          </v:shape>
          <o:OLEObject Type="Embed" ProgID="Equation.3" ShapeID="_x0000_i1033" DrawAspect="Content" ObjectID="_1468075729" r:id="rId13">
            <o:LockedField>false</o:LockedField>
          </o:OLEObject>
        </w:object>
      </w:r>
      <w:r>
        <w:t xml:space="preserve"> for </w:t>
      </w:r>
      <w:r>
        <w:rPr>
          <w:rFonts w:hint="eastAsia" w:eastAsia="宋体"/>
          <w:lang w:val="en-US" w:eastAsia="zh-CN"/>
        </w:rPr>
        <w:t>double</w:t>
      </w:r>
      <w:r>
        <w:t>-symbol DM-RS</w:t>
      </w:r>
    </w:p>
    <w:tbl>
      <w:tblPr>
        <w:tblStyle w:val="30"/>
        <w:tblW w:w="5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7"/>
        <w:gridCol w:w="851"/>
        <w:gridCol w:w="851"/>
        <w:gridCol w:w="851"/>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vMerge w:val="restart"/>
            <w:shd w:val="clear" w:color="auto" w:fill="auto"/>
          </w:tcPr>
          <w:p>
            <w:pPr>
              <w:keepNext/>
              <w:keepLines/>
              <w:spacing w:after="0"/>
              <w:jc w:val="center"/>
              <w:rPr>
                <w:rFonts w:ascii="Arial" w:hAnsi="Arial" w:eastAsia="Batang"/>
                <w:b/>
                <w:sz w:val="18"/>
              </w:rPr>
            </w:pP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d</m:t>
                  </m:r>
                  <m:ctrlPr>
                    <w:rPr>
                      <w:rFonts w:ascii="Cambria Math" w:hAnsi="Cambria Math"/>
                      <w:i/>
                    </w:rPr>
                  </m:ctrlPr>
                </m:sub>
              </m:sSub>
            </m:oMath>
            <w:r>
              <w:rPr>
                <w:rFonts w:ascii="Arial" w:hAnsi="Arial" w:eastAsia="Batang"/>
              </w:rPr>
              <w:t xml:space="preserve"> </w:t>
            </w:r>
            <w:r>
              <w:rPr>
                <w:rFonts w:ascii="Arial" w:hAnsi="Arial" w:eastAsia="Batang"/>
                <w:b/>
                <w:sz w:val="18"/>
              </w:rPr>
              <w:t xml:space="preserve"> in symbols</w:t>
            </w:r>
          </w:p>
        </w:tc>
        <w:tc>
          <w:tcPr>
            <w:tcW w:w="3404" w:type="dxa"/>
            <w:gridSpan w:val="4"/>
            <w:tcBorders>
              <w:bottom w:val="nil"/>
            </w:tcBorders>
            <w:shd w:val="clear" w:color="auto" w:fill="auto"/>
            <w:vAlign w:val="bottom"/>
          </w:tcPr>
          <w:p>
            <w:pPr>
              <w:keepNext/>
              <w:keepLines/>
              <w:spacing w:after="0"/>
              <w:jc w:val="center"/>
              <w:rPr>
                <w:rFonts w:ascii="Arial" w:hAnsi="Arial" w:eastAsia="Batang"/>
                <w:b/>
                <w:sz w:val="18"/>
              </w:rPr>
            </w:pPr>
            <w:r>
              <w:rPr>
                <w:rFonts w:ascii="Arial" w:hAnsi="Arial" w:eastAsia="Batang"/>
                <w:b/>
                <w:sz w:val="18"/>
              </w:rPr>
              <w:t xml:space="preserve">DM-RS positions </w:t>
            </w:r>
            <w:r>
              <w:rPr>
                <w:rFonts w:ascii="Arial" w:hAnsi="Arial" w:eastAsia="Batang"/>
                <w:b/>
                <w:position w:val="-6"/>
                <w:sz w:val="18"/>
              </w:rPr>
              <w:object>
                <v:shape id="_x0000_i1034" o:spt="75" type="#_x0000_t75" style="height:14.8pt;width:8pt;" o:ole="t" filled="f" o:preferrelative="t" stroked="f" coordsize="21600,21600">
                  <v:path/>
                  <v:fill on="f" focussize="0,0"/>
                  <v:stroke on="f" joinstyle="miter"/>
                  <v:imagedata r:id="rId8" o:title=""/>
                  <o:lock v:ext="edit" aspectratio="t"/>
                  <w10:wrap type="none"/>
                  <w10:anchorlock/>
                </v:shape>
                <o:OLEObject Type="Embed" ProgID="Equation.3" ShapeID="_x0000_i1034" DrawAspect="Content" ObjectID="_1468075730" r:id="rId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vMerge w:val="continue"/>
            <w:shd w:val="clear" w:color="auto" w:fill="auto"/>
          </w:tcPr>
          <w:p>
            <w:pPr>
              <w:keepNext/>
              <w:keepLines/>
              <w:spacing w:after="0"/>
              <w:jc w:val="center"/>
              <w:rPr>
                <w:rFonts w:ascii="Arial" w:hAnsi="Arial" w:eastAsia="Batang"/>
                <w:b/>
                <w:sz w:val="18"/>
              </w:rPr>
            </w:pPr>
          </w:p>
        </w:tc>
        <w:tc>
          <w:tcPr>
            <w:tcW w:w="3404" w:type="dxa"/>
            <w:gridSpan w:val="4"/>
            <w:tcBorders>
              <w:top w:val="nil"/>
            </w:tcBorders>
            <w:shd w:val="clear" w:color="auto" w:fill="auto"/>
            <w:vAlign w:val="bottom"/>
          </w:tcPr>
          <w:p>
            <w:pPr>
              <w:keepNext/>
              <w:keepLines/>
              <w:spacing w:after="0"/>
              <w:jc w:val="center"/>
              <w:rPr>
                <w:rFonts w:ascii="Arial" w:hAnsi="Arial" w:eastAsia="Batang"/>
                <w:b/>
                <w:sz w:val="18"/>
              </w:rPr>
            </w:pPr>
            <w:r>
              <w:rPr>
                <w:rFonts w:ascii="Arial" w:hAnsi="Arial" w:eastAsia="Batang"/>
                <w:b/>
                <w:sz w:val="18"/>
              </w:rPr>
              <w:t>PDSCH mapping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vMerge w:val="continue"/>
            <w:shd w:val="clear" w:color="auto" w:fill="auto"/>
          </w:tcPr>
          <w:p>
            <w:pPr>
              <w:keepNext/>
              <w:keepLines/>
              <w:spacing w:after="0"/>
              <w:jc w:val="center"/>
              <w:rPr>
                <w:rFonts w:ascii="Arial" w:hAnsi="Arial" w:eastAsia="Batang"/>
                <w:b/>
                <w:i/>
                <w:sz w:val="18"/>
              </w:rPr>
            </w:pPr>
          </w:p>
        </w:tc>
        <w:tc>
          <w:tcPr>
            <w:tcW w:w="3404" w:type="dxa"/>
            <w:gridSpan w:val="4"/>
            <w:tcBorders>
              <w:bottom w:val="nil"/>
            </w:tcBorders>
            <w:shd w:val="clear" w:color="auto" w:fill="auto"/>
            <w:vAlign w:val="bottom"/>
          </w:tcPr>
          <w:p>
            <w:pPr>
              <w:keepNext/>
              <w:keepLines/>
              <w:spacing w:after="0"/>
              <w:jc w:val="center"/>
              <w:rPr>
                <w:rFonts w:ascii="Arial" w:hAnsi="Arial" w:eastAsia="Batang"/>
                <w:b/>
                <w:i/>
                <w:sz w:val="18"/>
              </w:rPr>
            </w:pPr>
            <w:r>
              <w:rPr>
                <w:rFonts w:ascii="Arial" w:hAnsi="Arial" w:eastAsia="Batang"/>
                <w:b/>
                <w:i/>
                <w:sz w:val="18"/>
              </w:rPr>
              <w:t>dmrs-AdditionalPosition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vMerge w:val="continue"/>
            <w:shd w:val="clear" w:color="auto" w:fill="auto"/>
          </w:tcPr>
          <w:p>
            <w:pPr>
              <w:keepNext/>
              <w:keepLines/>
              <w:spacing w:after="0"/>
              <w:jc w:val="center"/>
              <w:rPr>
                <w:rFonts w:ascii="Arial" w:hAnsi="Arial" w:eastAsia="Batang"/>
                <w:b/>
                <w:i/>
                <w:sz w:val="18"/>
              </w:rPr>
            </w:pPr>
          </w:p>
        </w:tc>
        <w:tc>
          <w:tcPr>
            <w:tcW w:w="851" w:type="dxa"/>
            <w:tcBorders>
              <w:top w:val="nil"/>
            </w:tcBorders>
            <w:shd w:val="clear" w:color="auto" w:fill="auto"/>
          </w:tcPr>
          <w:p>
            <w:pPr>
              <w:keepNext/>
              <w:keepLines/>
              <w:spacing w:after="0"/>
              <w:jc w:val="center"/>
              <w:rPr>
                <w:rFonts w:ascii="Arial" w:hAnsi="Arial" w:eastAsia="Batang"/>
                <w:b/>
                <w:i/>
                <w:sz w:val="18"/>
              </w:rPr>
            </w:pPr>
            <w:r>
              <w:rPr>
                <w:rFonts w:ascii="Arial" w:hAnsi="Arial" w:eastAsia="Batang"/>
                <w:b/>
                <w:i/>
                <w:sz w:val="18"/>
              </w:rPr>
              <w:t>0</w:t>
            </w:r>
          </w:p>
        </w:tc>
        <w:tc>
          <w:tcPr>
            <w:tcW w:w="851" w:type="dxa"/>
            <w:tcBorders>
              <w:top w:val="nil"/>
            </w:tcBorders>
            <w:shd w:val="clear" w:color="auto" w:fill="auto"/>
          </w:tcPr>
          <w:p>
            <w:pPr>
              <w:keepNext/>
              <w:keepLines/>
              <w:spacing w:after="0"/>
              <w:jc w:val="center"/>
              <w:rPr>
                <w:rFonts w:ascii="Arial" w:hAnsi="Arial" w:eastAsia="Batang"/>
                <w:b/>
                <w:i/>
                <w:sz w:val="18"/>
              </w:rPr>
            </w:pPr>
            <w:r>
              <w:rPr>
                <w:rFonts w:ascii="Arial" w:hAnsi="Arial" w:eastAsia="Batang"/>
                <w:b/>
                <w:i/>
                <w:sz w:val="18"/>
              </w:rPr>
              <w:t>1</w:t>
            </w:r>
          </w:p>
        </w:tc>
        <w:tc>
          <w:tcPr>
            <w:tcW w:w="851" w:type="dxa"/>
            <w:tcBorders>
              <w:top w:val="nil"/>
            </w:tcBorders>
            <w:shd w:val="clear" w:color="auto" w:fill="auto"/>
          </w:tcPr>
          <w:p>
            <w:pPr>
              <w:keepNext/>
              <w:keepLines/>
              <w:spacing w:after="0"/>
              <w:jc w:val="center"/>
              <w:rPr>
                <w:rFonts w:ascii="Arial" w:hAnsi="Arial" w:eastAsia="Batang"/>
                <w:b/>
                <w:i/>
                <w:sz w:val="18"/>
              </w:rPr>
            </w:pPr>
            <w:r>
              <w:rPr>
                <w:rFonts w:ascii="Arial" w:hAnsi="Arial" w:eastAsia="Batang"/>
                <w:b/>
                <w:i/>
                <w:sz w:val="18"/>
              </w:rPr>
              <w:t>2</w:t>
            </w:r>
          </w:p>
        </w:tc>
        <w:tc>
          <w:tcPr>
            <w:tcW w:w="851" w:type="dxa"/>
            <w:tcBorders>
              <w:top w:val="nil"/>
            </w:tcBorders>
            <w:shd w:val="clear" w:color="auto" w:fill="auto"/>
          </w:tcPr>
          <w:p>
            <w:pPr>
              <w:keepNext/>
              <w:keepLines/>
              <w:spacing w:after="0"/>
              <w:jc w:val="center"/>
              <w:rPr>
                <w:rFonts w:ascii="Arial" w:hAnsi="Arial" w:eastAsia="Batang"/>
                <w:b/>
                <w:i/>
                <w:sz w:val="18"/>
              </w:rPr>
            </w:pPr>
            <w:r>
              <w:rPr>
                <w:rFonts w:ascii="Arial" w:hAnsi="Arial" w:eastAsia="Batang"/>
                <w:b/>
                <w:i/>
                <w:sz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auto"/>
          </w:tcPr>
          <w:p>
            <w:pPr>
              <w:keepNext/>
              <w:keepLines/>
              <w:spacing w:after="0"/>
              <w:jc w:val="center"/>
              <w:rPr>
                <w:rFonts w:ascii="Arial" w:hAnsi="Arial" w:eastAsia="Batang" w:cs="Arial"/>
                <w:sz w:val="18"/>
              </w:rPr>
            </w:pPr>
            <w:r>
              <w:rPr>
                <w:rFonts w:ascii="Arial" w:hAnsi="Arial" w:eastAsia="Batang" w:cs="Arial"/>
                <w:sz w:val="18"/>
              </w:rPr>
              <w:t>&lt;4</w:t>
            </w:r>
          </w:p>
        </w:tc>
        <w:tc>
          <w:tcPr>
            <w:tcW w:w="851" w:type="dxa"/>
            <w:shd w:val="clear" w:color="auto" w:fill="auto"/>
          </w:tcPr>
          <w:p>
            <w:pPr>
              <w:keepNext/>
              <w:keepLines/>
              <w:spacing w:after="0"/>
              <w:jc w:val="center"/>
              <w:rPr>
                <w:rFonts w:ascii="Arial" w:hAnsi="Arial" w:eastAsia="Batang"/>
                <w:sz w:val="18"/>
              </w:rPr>
            </w:pPr>
            <w:r>
              <w:rPr>
                <w:rFonts w:ascii="Arial" w:hAnsi="Arial" w:eastAsia="Batang"/>
                <w:sz w:val="18"/>
              </w:rPr>
              <w:t>-</w:t>
            </w:r>
          </w:p>
        </w:tc>
        <w:tc>
          <w:tcPr>
            <w:tcW w:w="851" w:type="dxa"/>
            <w:shd w:val="clear" w:color="auto" w:fill="auto"/>
          </w:tcPr>
          <w:p>
            <w:pPr>
              <w:keepNext/>
              <w:keepLines/>
              <w:spacing w:after="0"/>
              <w:jc w:val="center"/>
              <w:rPr>
                <w:rFonts w:ascii="Arial" w:hAnsi="Arial" w:eastAsia="Batang"/>
                <w:sz w:val="18"/>
              </w:rPr>
            </w:pPr>
            <w:r>
              <w:rPr>
                <w:rFonts w:ascii="Arial" w:hAnsi="Arial" w:eastAsia="Batang"/>
                <w:sz w:val="18"/>
              </w:rPr>
              <w:t>-</w:t>
            </w:r>
          </w:p>
        </w:tc>
        <w:tc>
          <w:tcPr>
            <w:tcW w:w="851" w:type="dxa"/>
            <w:shd w:val="clear" w:color="auto" w:fill="auto"/>
          </w:tcPr>
          <w:p>
            <w:pPr>
              <w:keepNext/>
              <w:keepLines/>
              <w:spacing w:after="0"/>
              <w:jc w:val="center"/>
              <w:rPr>
                <w:rFonts w:ascii="Arial" w:hAnsi="Arial" w:eastAsia="Batang"/>
                <w:sz w:val="18"/>
              </w:rPr>
            </w:pPr>
          </w:p>
        </w:tc>
        <w:tc>
          <w:tcPr>
            <w:tcW w:w="851" w:type="dxa"/>
            <w:shd w:val="clear" w:color="auto" w:fill="auto"/>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auto"/>
          </w:tcPr>
          <w:p>
            <w:pPr>
              <w:keepNext/>
              <w:keepLines/>
              <w:spacing w:after="0"/>
              <w:jc w:val="center"/>
              <w:rPr>
                <w:rFonts w:ascii="Arial" w:hAnsi="Arial" w:eastAsia="Batang" w:cs="Arial"/>
                <w:sz w:val="18"/>
              </w:rPr>
            </w:pPr>
            <w:r>
              <w:rPr>
                <w:rFonts w:ascii="Arial" w:hAnsi="Arial" w:eastAsia="Batang" w:cs="Arial"/>
                <w:sz w:val="18"/>
              </w:rPr>
              <w:t>4</w:t>
            </w:r>
          </w:p>
        </w:tc>
        <w:tc>
          <w:tcPr>
            <w:tcW w:w="851" w:type="dxa"/>
            <w:shd w:val="clear" w:color="auto" w:fill="auto"/>
          </w:tcPr>
          <w:p>
            <w:pPr>
              <w:keepNext/>
              <w:keepLines/>
              <w:spacing w:after="0"/>
              <w:jc w:val="center"/>
              <w:rPr>
                <w:rFonts w:ascii="Arial" w:hAnsi="Arial" w:eastAsia="Batang"/>
                <w:sz w:val="18"/>
              </w:rPr>
            </w:pPr>
            <w:r>
              <w:rPr>
                <w:rFonts w:ascii="Arial" w:hAnsi="Arial" w:eastAsia="Batang"/>
                <w:sz w:val="18"/>
              </w:rPr>
              <w:t>-</w:t>
            </w:r>
          </w:p>
        </w:tc>
        <w:tc>
          <w:tcPr>
            <w:tcW w:w="851" w:type="dxa"/>
            <w:shd w:val="clear" w:color="auto" w:fill="auto"/>
          </w:tcPr>
          <w:p>
            <w:pPr>
              <w:keepNext/>
              <w:keepLines/>
              <w:spacing w:after="0"/>
              <w:jc w:val="center"/>
              <w:rPr>
                <w:rFonts w:ascii="Arial" w:hAnsi="Arial" w:eastAsia="Batang"/>
                <w:sz w:val="18"/>
              </w:rPr>
            </w:pPr>
            <w:r>
              <w:rPr>
                <w:rFonts w:ascii="Arial" w:hAnsi="Arial" w:eastAsia="Batang"/>
                <w:sz w:val="18"/>
              </w:rPr>
              <w:t>-</w:t>
            </w:r>
          </w:p>
        </w:tc>
        <w:tc>
          <w:tcPr>
            <w:tcW w:w="851" w:type="dxa"/>
            <w:shd w:val="clear" w:color="auto" w:fill="auto"/>
          </w:tcPr>
          <w:p>
            <w:pPr>
              <w:keepNext/>
              <w:keepLines/>
              <w:spacing w:after="0"/>
              <w:jc w:val="center"/>
              <w:rPr>
                <w:rFonts w:ascii="Arial" w:hAnsi="Arial" w:eastAsia="Batang"/>
                <w:sz w:val="18"/>
              </w:rPr>
            </w:pPr>
          </w:p>
        </w:tc>
        <w:tc>
          <w:tcPr>
            <w:tcW w:w="851" w:type="dxa"/>
            <w:shd w:val="clear" w:color="auto" w:fill="auto"/>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cs="Arial"/>
                <w:sz w:val="18"/>
              </w:rPr>
            </w:pPr>
            <w:r>
              <w:rPr>
                <w:rFonts w:ascii="Arial" w:hAnsi="Arial" w:eastAsia="Batang" w:cs="Arial"/>
                <w:sz w:val="18"/>
              </w:rPr>
              <w:t>5</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auto"/>
          </w:tcPr>
          <w:p>
            <w:pPr>
              <w:keepNext/>
              <w:keepLines/>
              <w:spacing w:after="0"/>
              <w:jc w:val="center"/>
              <w:rPr>
                <w:rFonts w:ascii="Arial" w:hAnsi="Arial" w:eastAsia="Batang" w:cs="Arial"/>
                <w:sz w:val="18"/>
              </w:rPr>
            </w:pPr>
            <w:r>
              <w:rPr>
                <w:rFonts w:ascii="Arial" w:hAnsi="Arial" w:eastAsia="Batang" w:cs="Arial"/>
                <w:sz w:val="18"/>
              </w:rPr>
              <w:t>6</w:t>
            </w:r>
          </w:p>
        </w:tc>
        <w:tc>
          <w:tcPr>
            <w:tcW w:w="851" w:type="dxa"/>
            <w:shd w:val="clear" w:color="auto" w:fill="auto"/>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auto"/>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auto"/>
          </w:tcPr>
          <w:p>
            <w:pPr>
              <w:keepNext/>
              <w:keepLines/>
              <w:spacing w:after="0"/>
              <w:jc w:val="center"/>
              <w:rPr>
                <w:rFonts w:ascii="Arial" w:hAnsi="Arial" w:eastAsia="Batang"/>
                <w:sz w:val="18"/>
              </w:rPr>
            </w:pPr>
          </w:p>
        </w:tc>
        <w:tc>
          <w:tcPr>
            <w:tcW w:w="851" w:type="dxa"/>
            <w:shd w:val="clear" w:color="auto" w:fill="auto"/>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auto"/>
          </w:tcPr>
          <w:p>
            <w:pPr>
              <w:keepNext/>
              <w:keepLines/>
              <w:spacing w:after="0"/>
              <w:jc w:val="center"/>
              <w:rPr>
                <w:rFonts w:ascii="Arial" w:hAnsi="Arial" w:eastAsia="Batang"/>
                <w:sz w:val="18"/>
              </w:rPr>
            </w:pPr>
            <w:r>
              <w:rPr>
                <w:rFonts w:ascii="Arial" w:hAnsi="Arial" w:eastAsia="Batang"/>
                <w:sz w:val="18"/>
              </w:rPr>
              <w:t>7</w:t>
            </w:r>
          </w:p>
        </w:tc>
        <w:tc>
          <w:tcPr>
            <w:tcW w:w="851" w:type="dxa"/>
            <w:shd w:val="clear" w:color="auto" w:fill="auto"/>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auto"/>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auto"/>
          </w:tcPr>
          <w:p>
            <w:pPr>
              <w:keepNext/>
              <w:keepLines/>
              <w:spacing w:after="0"/>
              <w:jc w:val="center"/>
              <w:rPr>
                <w:rFonts w:ascii="Arial" w:hAnsi="Arial" w:eastAsia="Batang"/>
                <w:sz w:val="18"/>
              </w:rPr>
            </w:pPr>
          </w:p>
        </w:tc>
        <w:tc>
          <w:tcPr>
            <w:tcW w:w="851" w:type="dxa"/>
            <w:shd w:val="clear" w:color="auto" w:fill="auto"/>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sz w:val="18"/>
              </w:rPr>
            </w:pPr>
            <w:r>
              <w:rPr>
                <w:rFonts w:ascii="Arial" w:hAnsi="Arial" w:eastAsia="Batang"/>
                <w:sz w:val="18"/>
              </w:rPr>
              <w:t>8</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rPr>
                <w:rFonts w:ascii="Arial" w:hAnsi="Arial" w:eastAsia="Batang"/>
                <w:sz w:val="18"/>
              </w:rPr>
              <w:t>, 5</w:t>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sz w:val="18"/>
              </w:rPr>
            </w:pPr>
            <w:r>
              <w:rPr>
                <w:rFonts w:ascii="Arial" w:hAnsi="Arial" w:eastAsia="Batang"/>
                <w:sz w:val="18"/>
              </w:rPr>
              <w:t>9</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8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78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rPr>
                <w:rFonts w:ascii="Arial" w:hAnsi="Arial" w:eastAsia="Batang"/>
                <w:sz w:val="18"/>
              </w:rPr>
              <w:t>, 5</w:t>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sz w:val="18"/>
              </w:rPr>
            </w:pPr>
            <w:r>
              <w:rPr>
                <w:rFonts w:ascii="Arial" w:hAnsi="Arial" w:eastAsia="Batang"/>
                <w:sz w:val="18"/>
              </w:rPr>
              <w:t>10</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8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7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rPr>
                <w:rFonts w:ascii="Arial" w:hAnsi="Arial" w:eastAsia="Batang"/>
                <w:sz w:val="18"/>
              </w:rPr>
              <w:t>, 7</w:t>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sz w:val="18"/>
              </w:rPr>
            </w:pPr>
            <w:r>
              <w:rPr>
                <w:rFonts w:ascii="Arial" w:hAnsi="Arial" w:eastAsia="Batang"/>
                <w:sz w:val="18"/>
              </w:rPr>
              <w:t>11</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7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rPr>
                <w:rFonts w:ascii="Arial" w:hAnsi="Arial" w:eastAsia="Batang"/>
                <w:sz w:val="18"/>
              </w:rPr>
              <w:t>, 7</w:t>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sz w:val="18"/>
              </w:rPr>
            </w:pPr>
            <w:r>
              <w:rPr>
                <w:rFonts w:ascii="Arial" w:hAnsi="Arial" w:eastAsia="Batang"/>
                <w:sz w:val="18"/>
              </w:rPr>
              <w:t>12</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7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7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rPr>
                <w:rFonts w:ascii="Arial" w:hAnsi="Arial" w:eastAsia="Batang"/>
                <w:sz w:val="18"/>
              </w:rPr>
              <w:t>, 9</w:t>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FFFF00"/>
          </w:tcPr>
          <w:p>
            <w:pPr>
              <w:keepNext/>
              <w:keepLines/>
              <w:spacing w:after="0"/>
              <w:jc w:val="center"/>
              <w:rPr>
                <w:rFonts w:ascii="Arial" w:hAnsi="Arial" w:eastAsia="Batang"/>
                <w:sz w:val="18"/>
              </w:rPr>
            </w:pPr>
            <w:r>
              <w:rPr>
                <w:rFonts w:ascii="Arial" w:hAnsi="Arial" w:eastAsia="Batang"/>
                <w:sz w:val="18"/>
              </w:rPr>
              <w:t>13</w:t>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7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p>
        </w:tc>
        <w:tc>
          <w:tcPr>
            <w:tcW w:w="851" w:type="dxa"/>
            <w:shd w:val="clear" w:color="auto" w:fill="FFFF00"/>
          </w:tcPr>
          <w:p>
            <w:pPr>
              <w:keepNext/>
              <w:keepLines/>
              <w:spacing w:after="0"/>
              <w:jc w:val="center"/>
              <w:rPr>
                <w:rFonts w:ascii="Arial" w:hAnsi="Arial" w:eastAsia="Batang"/>
                <w:sz w:val="18"/>
              </w:rPr>
            </w:pPr>
            <w:r>
              <w:rPr>
                <w:rFonts w:ascii="Arial" w:hAnsi="Arial"/>
                <w:position w:val="-10"/>
                <w:sz w:val="18"/>
                <w:lang w:val="en-GB" w:eastAsia="en-GB"/>
              </w:rPr>
              <w:drawing>
                <wp:inline distT="0" distB="0" distL="0" distR="0">
                  <wp:extent cx="93980" cy="181610"/>
                  <wp:effectExtent l="0" t="0" r="1270" b="6985"/>
                  <wp:docPr id="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79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3980" cy="181610"/>
                          </a:xfrm>
                          <a:prstGeom prst="rect">
                            <a:avLst/>
                          </a:prstGeom>
                          <a:noFill/>
                          <a:ln>
                            <a:noFill/>
                          </a:ln>
                        </pic:spPr>
                      </pic:pic>
                    </a:graphicData>
                  </a:graphic>
                </wp:inline>
              </w:drawing>
            </w:r>
            <w:r>
              <w:rPr>
                <w:rFonts w:ascii="Arial" w:hAnsi="Arial" w:eastAsia="Batang"/>
                <w:sz w:val="18"/>
              </w:rPr>
              <w:t>, 9</w:t>
            </w:r>
          </w:p>
        </w:tc>
        <w:tc>
          <w:tcPr>
            <w:tcW w:w="851" w:type="dxa"/>
            <w:shd w:val="clear" w:color="auto" w:fill="FFFF00"/>
          </w:tcPr>
          <w:p>
            <w:pPr>
              <w:keepNext/>
              <w:keepLines/>
              <w:spacing w:after="0"/>
              <w:jc w:val="center"/>
              <w:rPr>
                <w:rFonts w:ascii="Arial" w:hAnsi="Arial" w:eastAsia="Batang"/>
                <w:sz w:val="18"/>
              </w:rPr>
            </w:pPr>
          </w:p>
        </w:tc>
        <w:tc>
          <w:tcPr>
            <w:tcW w:w="851" w:type="dxa"/>
            <w:shd w:val="clear" w:color="auto" w:fill="FFFF00"/>
          </w:tcPr>
          <w:p>
            <w:pPr>
              <w:keepNext/>
              <w:keepLines/>
              <w:spacing w:after="0"/>
              <w:jc w:val="center"/>
              <w:rPr>
                <w:rFonts w:ascii="Arial" w:hAnsi="Arial" w:eastAsia="Batang"/>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7" w:type="dxa"/>
            <w:shd w:val="clear" w:color="auto" w:fill="auto"/>
          </w:tcPr>
          <w:p>
            <w:pPr>
              <w:keepNext/>
              <w:keepLines/>
              <w:spacing w:after="0"/>
              <w:jc w:val="center"/>
              <w:rPr>
                <w:rFonts w:ascii="Arial" w:hAnsi="Arial" w:eastAsia="Batang"/>
                <w:sz w:val="18"/>
              </w:rPr>
            </w:pPr>
            <w:r>
              <w:rPr>
                <w:rFonts w:ascii="Arial" w:hAnsi="Arial" w:eastAsia="Batang"/>
                <w:sz w:val="18"/>
              </w:rPr>
              <w:t>14</w:t>
            </w:r>
          </w:p>
        </w:tc>
        <w:tc>
          <w:tcPr>
            <w:tcW w:w="851" w:type="dxa"/>
            <w:shd w:val="clear" w:color="auto" w:fill="auto"/>
          </w:tcPr>
          <w:p>
            <w:pPr>
              <w:keepNext/>
              <w:keepLines/>
              <w:spacing w:after="0"/>
              <w:jc w:val="center"/>
              <w:rPr>
                <w:rFonts w:hint="eastAsia" w:ascii="Arial" w:hAnsi="Arial" w:eastAsia="宋体"/>
                <w:sz w:val="18"/>
                <w:lang w:val="en-US" w:eastAsia="zh-CN"/>
              </w:rPr>
            </w:pPr>
            <w:r>
              <w:rPr>
                <w:rFonts w:hint="eastAsia" w:ascii="Arial" w:hAnsi="Arial" w:eastAsia="宋体"/>
                <w:sz w:val="18"/>
                <w:lang w:val="en-US" w:eastAsia="zh-CN"/>
              </w:rPr>
              <w:t>-</w:t>
            </w:r>
          </w:p>
        </w:tc>
        <w:tc>
          <w:tcPr>
            <w:tcW w:w="851" w:type="dxa"/>
            <w:shd w:val="clear" w:color="auto" w:fill="auto"/>
          </w:tcPr>
          <w:p>
            <w:pPr>
              <w:keepNext/>
              <w:keepLines/>
              <w:spacing w:after="0"/>
              <w:jc w:val="center"/>
              <w:rPr>
                <w:rFonts w:hint="eastAsia" w:ascii="Arial" w:hAnsi="Arial" w:eastAsia="宋体"/>
                <w:sz w:val="18"/>
                <w:lang w:val="en-US" w:eastAsia="zh-CN"/>
              </w:rPr>
            </w:pPr>
            <w:r>
              <w:rPr>
                <w:rFonts w:hint="eastAsia" w:ascii="Arial" w:hAnsi="Arial" w:eastAsia="宋体"/>
                <w:sz w:val="18"/>
                <w:lang w:val="en-US" w:eastAsia="zh-CN"/>
              </w:rPr>
              <w:t>-</w:t>
            </w:r>
          </w:p>
        </w:tc>
        <w:tc>
          <w:tcPr>
            <w:tcW w:w="851" w:type="dxa"/>
            <w:shd w:val="clear" w:color="auto" w:fill="auto"/>
          </w:tcPr>
          <w:p>
            <w:pPr>
              <w:keepNext/>
              <w:keepLines/>
              <w:spacing w:after="0"/>
              <w:jc w:val="center"/>
              <w:rPr>
                <w:rFonts w:ascii="Arial" w:hAnsi="Arial" w:eastAsia="Batang"/>
                <w:sz w:val="18"/>
              </w:rPr>
            </w:pPr>
          </w:p>
        </w:tc>
        <w:tc>
          <w:tcPr>
            <w:tcW w:w="851" w:type="dxa"/>
            <w:shd w:val="clear" w:color="auto" w:fill="auto"/>
          </w:tcPr>
          <w:p>
            <w:pPr>
              <w:keepNext/>
              <w:keepLines/>
              <w:spacing w:after="0"/>
              <w:jc w:val="center"/>
              <w:rPr>
                <w:rFonts w:ascii="Arial" w:hAnsi="Arial" w:eastAsia="Batang"/>
                <w:sz w:val="18"/>
              </w:rPr>
            </w:pPr>
          </w:p>
        </w:tc>
      </w:tr>
    </w:tbl>
    <w:p>
      <w:pPr>
        <w:spacing w:before="137" w:beforeLines="50" w:line="260" w:lineRule="auto"/>
        <w:jc w:val="both"/>
        <w:rPr>
          <w:rFonts w:hint="default" w:eastAsia="宋体"/>
          <w:sz w:val="20"/>
          <w:szCs w:val="20"/>
          <w:lang w:val="en-US" w:eastAsia="zh-CN"/>
        </w:rPr>
      </w:pPr>
      <w:r>
        <w:rPr>
          <w:rFonts w:hint="eastAsia" w:eastAsia="宋体"/>
          <w:sz w:val="20"/>
          <w:szCs w:val="20"/>
          <w:lang w:val="en-US" w:eastAsia="zh-CN"/>
        </w:rPr>
        <w:t>For the PDSCH Default A SLIV Table, RAN1 in RAN1 #98bis meeting has agreed that Type-B PDSCH lengths other than the 2/4/7 lengths already supported in Rel-15 are not introduced for NR-U. Therefore, no other durations except 2/4/7 lengths in the existing PDSCH Default A SLIV Table are mandatory for the UE to support for initial access.</w:t>
      </w:r>
    </w:p>
    <w:p>
      <w:pPr>
        <w:jc w:val="both"/>
        <w:rPr>
          <w:rFonts w:hint="default" w:eastAsia="宋体"/>
          <w:lang w:val="en-US" w:eastAsia="zh-CN"/>
        </w:rPr>
      </w:pPr>
      <w:r>
        <w:rPr>
          <w:rFonts w:hint="eastAsia" w:eastAsia="宋体"/>
          <w:lang w:val="en-US" w:eastAsia="zh-CN"/>
        </w:rPr>
        <w:t xml:space="preserve">For </w:t>
      </w:r>
      <w:r>
        <w:t>processing times</w:t>
      </w:r>
      <w:r>
        <w:rPr>
          <w:rFonts w:hint="eastAsia" w:eastAsia="宋体"/>
          <w:lang w:val="en-US" w:eastAsia="zh-CN"/>
        </w:rPr>
        <w:t xml:space="preserve"> of PDSCH mapping type B with the additional durations,</w:t>
      </w:r>
      <w:r>
        <w:t xml:space="preserve"> </w:t>
      </w:r>
      <w:r>
        <w:rPr>
          <w:rFonts w:hint="eastAsia" w:eastAsia="宋体"/>
          <w:lang w:val="en-US" w:eastAsia="zh-CN"/>
        </w:rPr>
        <w:t xml:space="preserve">it can </w:t>
      </w:r>
      <w:r>
        <w:t>reus</w:t>
      </w:r>
      <w:r>
        <w:rPr>
          <w:rFonts w:hint="eastAsia" w:eastAsia="宋体"/>
          <w:lang w:val="en-US" w:eastAsia="zh-CN"/>
        </w:rPr>
        <w:t>e</w:t>
      </w:r>
      <w:r>
        <w:t xml:space="preserve"> the values </w:t>
      </w:r>
      <w:r>
        <w:rPr>
          <w:rFonts w:hint="eastAsia" w:eastAsia="宋体"/>
          <w:lang w:val="en-US" w:eastAsia="zh-CN"/>
        </w:rPr>
        <w:t xml:space="preserve">of </w:t>
      </w:r>
      <w:r>
        <w:t>durations of 2/4/7</w:t>
      </w:r>
      <w:r>
        <w:rPr>
          <w:rFonts w:hint="eastAsia" w:eastAsia="宋体"/>
          <w:lang w:val="en-US" w:eastAsia="zh-CN"/>
        </w:rPr>
        <w:t xml:space="preserve"> symbols as specified in </w:t>
      </w:r>
      <w:r>
        <w:rPr>
          <w:rFonts w:hint="eastAsia" w:eastAsia="宋体"/>
          <w:highlight w:val="none"/>
          <w:lang w:val="en-US" w:eastAsia="zh-CN"/>
        </w:rPr>
        <w:t>chapter 5.3 in TS 38.214</w:t>
      </w:r>
      <w:r>
        <w:rPr>
          <w:rFonts w:hint="eastAsia" w:eastAsia="宋体"/>
          <w:lang w:val="en-US" w:eastAsia="zh-CN"/>
        </w:rPr>
        <w:t>, which can have little specific</w:t>
      </w:r>
      <w:r>
        <w:rPr>
          <w:rFonts w:hint="eastAsia" w:eastAsia="宋体"/>
          <w:highlight w:val="none"/>
          <w:lang w:val="en-US" w:eastAsia="zh-CN"/>
        </w:rPr>
        <w:t>ation impact. For ex</w:t>
      </w:r>
      <w:r>
        <w:rPr>
          <w:rFonts w:hint="eastAsia" w:eastAsia="宋体"/>
          <w:lang w:val="en-US" w:eastAsia="zh-CN"/>
        </w:rPr>
        <w:t xml:space="preserve">ample, the new durations with greater than 7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 xml:space="preserve">in chapter 5.3 as 7, the durations of 5/6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 xml:space="preserve">as 4, and the duration of 3 symbols can use the same </w:t>
      </w:r>
      <w:r>
        <w:rPr>
          <w:i/>
        </w:rPr>
        <w:t>d</w:t>
      </w:r>
      <w:r>
        <w:rPr>
          <w:i/>
          <w:vertAlign w:val="subscript"/>
        </w:rPr>
        <w:t>1,</w:t>
      </w:r>
      <w:r>
        <w:rPr>
          <w:i/>
          <w:vertAlign w:val="subscript"/>
          <w:lang w:val="en-GB"/>
        </w:rPr>
        <w:t>1</w:t>
      </w:r>
      <w:r>
        <w:rPr>
          <w:rFonts w:hint="eastAsia" w:eastAsia="宋体"/>
          <w:i/>
          <w:vertAlign w:val="subscript"/>
          <w:lang w:val="en-US" w:eastAsia="zh-CN"/>
        </w:rPr>
        <w:t xml:space="preserve"> </w:t>
      </w:r>
      <w:r>
        <w:rPr>
          <w:rFonts w:hint="eastAsia" w:eastAsia="宋体"/>
          <w:lang w:val="en-US" w:eastAsia="zh-CN"/>
        </w:rPr>
        <w:t>as 2 or 4. Based on this, we don</w:t>
      </w:r>
      <w:r>
        <w:rPr>
          <w:rFonts w:hint="default" w:eastAsia="宋体"/>
          <w:lang w:val="en-US" w:eastAsia="zh-CN"/>
        </w:rPr>
        <w:t>’</w:t>
      </w:r>
      <w:r>
        <w:rPr>
          <w:rFonts w:hint="eastAsia" w:eastAsia="宋体"/>
          <w:lang w:val="en-US" w:eastAsia="zh-CN"/>
        </w:rPr>
        <w:t>t think that introducing new durations will lead to</w:t>
      </w:r>
      <w:r>
        <w:t xml:space="preserve"> an increased requirement in PDSCH processing and decoding capabilities</w:t>
      </w:r>
      <w:r>
        <w:rPr>
          <w:rFonts w:hint="eastAsia" w:eastAsia="宋体"/>
          <w:lang w:val="en-US" w:eastAsia="zh-CN"/>
        </w:rPr>
        <w:t xml:space="preserve">, and thus recommend reusing </w:t>
      </w:r>
      <w:r>
        <w:t>the values for durations of 2/4/7</w:t>
      </w:r>
      <w:r>
        <w:rPr>
          <w:rFonts w:hint="eastAsia" w:eastAsia="宋体"/>
          <w:lang w:val="en-US" w:eastAsia="zh-CN"/>
        </w:rPr>
        <w:t xml:space="preserve">. </w:t>
      </w:r>
    </w:p>
    <w:p>
      <w:pPr>
        <w:numPr>
          <w:ilvl w:val="255"/>
          <w:numId w:val="0"/>
        </w:numPr>
        <w:spacing w:after="120" w:line="260" w:lineRule="auto"/>
        <w:jc w:val="both"/>
        <w:rPr>
          <w:rFonts w:hint="default" w:eastAsia="Times New Roman"/>
          <w:b w:val="0"/>
          <w:bCs w:val="0"/>
          <w:i/>
          <w:iCs/>
          <w:sz w:val="20"/>
          <w:szCs w:val="20"/>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zh-CN"/>
        </w:rPr>
        <w:t>P</w:t>
      </w:r>
      <w:r>
        <w:rPr>
          <w:i/>
          <w:iCs/>
        </w:rPr>
        <w:t>rocessing times</w:t>
      </w:r>
      <w:r>
        <w:rPr>
          <w:rFonts w:hint="eastAsia"/>
          <w:i/>
          <w:iCs/>
          <w:lang w:val="en-US" w:eastAsia="zh-CN"/>
        </w:rPr>
        <w:t xml:space="preserve"> of PDSCH mapping type B with the additional durations</w:t>
      </w:r>
      <w:r>
        <w:rPr>
          <w:i/>
          <w:iCs/>
        </w:rPr>
        <w:t xml:space="preserve"> </w:t>
      </w:r>
      <w:r>
        <w:rPr>
          <w:rFonts w:hint="eastAsia" w:eastAsia="宋体"/>
          <w:i/>
          <w:iCs/>
          <w:lang w:val="en-US" w:eastAsia="zh-CN"/>
        </w:rPr>
        <w:t xml:space="preserve">can </w:t>
      </w:r>
      <w:r>
        <w:rPr>
          <w:i/>
          <w:iCs/>
        </w:rPr>
        <w:t xml:space="preserve">reuse the values </w:t>
      </w:r>
      <w:r>
        <w:rPr>
          <w:rFonts w:hint="eastAsia" w:eastAsia="宋体"/>
          <w:i/>
          <w:iCs/>
          <w:lang w:val="en-US" w:eastAsia="zh-CN"/>
        </w:rPr>
        <w:t>of</w:t>
      </w:r>
      <w:r>
        <w:rPr>
          <w:i/>
          <w:iCs/>
        </w:rPr>
        <w:t xml:space="preserve"> </w:t>
      </w:r>
      <w:r>
        <w:rPr>
          <w:b w:val="0"/>
          <w:bCs w:val="0"/>
          <w:i/>
          <w:iCs/>
        </w:rPr>
        <w:t>durations of 2/4/7</w:t>
      </w:r>
      <w:r>
        <w:rPr>
          <w:rFonts w:hint="default" w:eastAsia="Times New Roman"/>
          <w:b w:val="0"/>
          <w:bCs w:val="0"/>
          <w:i/>
          <w:iCs/>
          <w:sz w:val="20"/>
          <w:szCs w:val="20"/>
          <w:lang w:val="en-US" w:eastAsia="zh-CN"/>
        </w:rPr>
        <w:t xml:space="preserve"> symbols as specified in </w:t>
      </w:r>
      <w:r>
        <w:rPr>
          <w:rFonts w:hint="default" w:eastAsia="Times New Roman"/>
          <w:b w:val="0"/>
          <w:bCs w:val="0"/>
          <w:i/>
          <w:iCs/>
          <w:sz w:val="20"/>
          <w:szCs w:val="20"/>
          <w:highlight w:val="none"/>
          <w:lang w:val="en-US" w:eastAsia="zh-CN"/>
        </w:rPr>
        <w:t>chapter 5.3 in TS 38.214</w:t>
      </w:r>
      <w:r>
        <w:rPr>
          <w:rFonts w:hint="default" w:eastAsia="Times New Roman"/>
          <w:b w:val="0"/>
          <w:bCs w:val="0"/>
          <w:i/>
          <w:iCs/>
          <w:sz w:val="20"/>
          <w:szCs w:val="20"/>
          <w:lang w:val="en-US" w:eastAsia="zh-CN"/>
        </w:rPr>
        <w:t>.</w:t>
      </w:r>
    </w:p>
    <w:p>
      <w:pPr>
        <w:pStyle w:val="47"/>
        <w:spacing w:after="60" w:line="260" w:lineRule="auto"/>
        <w:rPr>
          <w:b w:val="0"/>
          <w:bCs w:val="0"/>
          <w:i/>
          <w:sz w:val="20"/>
          <w:lang w:val="en-AU"/>
        </w:rPr>
      </w:pPr>
      <w:r>
        <w:rPr>
          <w:b w:val="0"/>
          <w:bCs w:val="0"/>
          <w:i/>
          <w:sz w:val="20"/>
          <w:lang w:val="en-AU"/>
        </w:rPr>
        <w:t>-</w:t>
      </w:r>
      <w:r>
        <w:rPr>
          <w:b w:val="0"/>
          <w:bCs w:val="0"/>
          <w:i/>
          <w:sz w:val="20"/>
          <w:lang w:val="en-AU"/>
        </w:rPr>
        <w:tab/>
      </w:r>
      <w:r>
        <w:rPr>
          <w:b w:val="0"/>
          <w:bCs w:val="0"/>
          <w:i/>
          <w:sz w:val="20"/>
          <w:lang w:val="en-AU"/>
        </w:rPr>
        <w:t xml:space="preserve">For UE processing capability 1, and </w:t>
      </w:r>
    </w:p>
    <w:p>
      <w:pPr>
        <w:pStyle w:val="54"/>
        <w:tabs>
          <w:tab w:val="left" w:pos="2041"/>
        </w:tabs>
        <w:spacing w:after="60" w:line="260" w:lineRule="auto"/>
        <w:rPr>
          <w:b w:val="0"/>
          <w:bCs w:val="0"/>
          <w:i/>
          <w:color w:val="auto"/>
          <w:sz w:val="20"/>
          <w:highlight w:val="none"/>
        </w:rPr>
      </w:pPr>
      <w:r>
        <w:rPr>
          <w:b w:val="0"/>
          <w:bCs w:val="0"/>
          <w:i/>
          <w:sz w:val="20"/>
        </w:rPr>
        <w:t>-</w:t>
      </w:r>
      <w:r>
        <w:rPr>
          <w:b w:val="0"/>
          <w:bCs w:val="0"/>
          <w:i/>
          <w:sz w:val="20"/>
        </w:rPr>
        <w:tab/>
      </w:r>
      <w:r>
        <w:rPr>
          <w:b w:val="0"/>
          <w:bCs w:val="0"/>
          <w:i/>
          <w:sz w:val="20"/>
        </w:rPr>
        <w:t>if the number of PDSCH symbols allo</w:t>
      </w:r>
      <w:r>
        <w:rPr>
          <w:b w:val="0"/>
          <w:bCs w:val="0"/>
          <w:i/>
          <w:sz w:val="20"/>
          <w:highlight w:val="none"/>
        </w:rPr>
        <w:t xml:space="preserve">cated </w:t>
      </w:r>
      <w:r>
        <w:rPr>
          <w:rFonts w:hint="eastAsia"/>
          <w:b w:val="0"/>
          <w:bCs w:val="0"/>
          <w:i/>
          <w:sz w:val="20"/>
          <w:highlight w:val="none"/>
          <w:lang w:val="en-US" w:eastAsia="zh-CN"/>
        </w:rPr>
        <w:t xml:space="preserve"> L =</w:t>
      </w:r>
      <w:r>
        <w:rPr>
          <w:b w:val="0"/>
          <w:bCs w:val="0"/>
          <w:i/>
          <w:sz w:val="20"/>
          <w:highlight w:val="none"/>
        </w:rPr>
        <w:t xml:space="preserve"> 7</w:t>
      </w:r>
      <w:r>
        <w:rPr>
          <w:rFonts w:hint="eastAsia"/>
          <w:b w:val="0"/>
          <w:bCs w:val="0"/>
          <w:i/>
          <w:color w:val="auto"/>
          <w:sz w:val="20"/>
          <w:highlight w:val="none"/>
          <w:lang w:val="en-US" w:eastAsia="zh-CN"/>
        </w:rPr>
        <w:t xml:space="preserve"> or more</w:t>
      </w:r>
      <w:r>
        <w:rPr>
          <w:b w:val="0"/>
          <w:bCs w:val="0"/>
          <w:i/>
          <w:color w:val="auto"/>
          <w:sz w:val="20"/>
          <w:highlight w:val="none"/>
        </w:rPr>
        <w:t>, then d</w:t>
      </w:r>
      <w:r>
        <w:rPr>
          <w:b w:val="0"/>
          <w:bCs w:val="0"/>
          <w:i/>
          <w:color w:val="auto"/>
          <w:sz w:val="20"/>
          <w:highlight w:val="none"/>
          <w:vertAlign w:val="subscript"/>
        </w:rPr>
        <w:t>1,1</w:t>
      </w:r>
      <w:r>
        <w:rPr>
          <w:b w:val="0"/>
          <w:bCs w:val="0"/>
          <w:i/>
          <w:color w:val="auto"/>
          <w:sz w:val="20"/>
          <w:highlight w:val="none"/>
        </w:rPr>
        <w:t xml:space="preserve"> = 0,</w:t>
      </w:r>
    </w:p>
    <w:p>
      <w:pPr>
        <w:pStyle w:val="54"/>
        <w:tabs>
          <w:tab w:val="left" w:pos="2041"/>
        </w:tabs>
        <w:spacing w:after="60" w:line="260" w:lineRule="auto"/>
        <w:rPr>
          <w:rFonts w:hint="eastAsia" w:eastAsia="宋体"/>
          <w:b w:val="0"/>
          <w:bCs w:val="0"/>
          <w:i/>
          <w:color w:val="auto"/>
          <w:sz w:val="20"/>
          <w:highlight w:val="none"/>
          <w:lang w:val="en-US" w:eastAsia="zh-CN"/>
        </w:rPr>
      </w:pPr>
      <w:r>
        <w:rPr>
          <w:b w:val="0"/>
          <w:bCs w:val="0"/>
          <w:i/>
          <w:color w:val="auto"/>
          <w:sz w:val="20"/>
          <w:highlight w:val="none"/>
        </w:rPr>
        <w:t>-</w:t>
      </w:r>
      <w:r>
        <w:rPr>
          <w:b w:val="0"/>
          <w:bCs w:val="0"/>
          <w:i/>
          <w:color w:val="auto"/>
          <w:sz w:val="20"/>
          <w:highlight w:val="none"/>
        </w:rPr>
        <w:tab/>
      </w:r>
      <w:r>
        <w:rPr>
          <w:b w:val="0"/>
          <w:bCs w:val="0"/>
          <w:i/>
          <w:color w:val="auto"/>
          <w:sz w:val="20"/>
          <w:highlight w:val="none"/>
        </w:rPr>
        <w:t xml:space="preserve">if the number of PDSCH symbols allocated </w:t>
      </w:r>
      <w:r>
        <w:rPr>
          <w:rFonts w:hint="eastAsia"/>
          <w:b w:val="0"/>
          <w:bCs w:val="0"/>
          <w:i/>
          <w:color w:val="auto"/>
          <w:sz w:val="20"/>
          <w:highlight w:val="none"/>
          <w:lang w:val="en-US" w:eastAsia="zh-CN"/>
        </w:rPr>
        <w:t xml:space="preserve">L = 4, </w:t>
      </w:r>
      <w:r>
        <w:rPr>
          <w:b w:val="0"/>
          <w:bCs w:val="0"/>
          <w:i/>
          <w:color w:val="auto"/>
          <w:sz w:val="20"/>
          <w:highlight w:val="none"/>
        </w:rPr>
        <w:t>5, or 6,</w:t>
      </w:r>
      <w:r>
        <w:rPr>
          <w:b w:val="0"/>
          <w:bCs w:val="0"/>
          <w:i/>
          <w:color w:val="auto"/>
          <w:sz w:val="20"/>
          <w:highlight w:val="none"/>
        </w:rPr>
        <w:t xml:space="preserve">  then d</w:t>
      </w:r>
      <w:r>
        <w:rPr>
          <w:b w:val="0"/>
          <w:bCs w:val="0"/>
          <w:i/>
          <w:color w:val="auto"/>
          <w:sz w:val="20"/>
          <w:highlight w:val="none"/>
          <w:vertAlign w:val="subscript"/>
        </w:rPr>
        <w:t>1,1</w:t>
      </w:r>
      <w:r>
        <w:rPr>
          <w:b w:val="0"/>
          <w:bCs w:val="0"/>
          <w:i/>
          <w:color w:val="auto"/>
          <w:sz w:val="20"/>
          <w:highlight w:val="none"/>
        </w:rPr>
        <w:t xml:space="preserve"> = 3</w:t>
      </w:r>
      <w:r>
        <w:rPr>
          <w:rFonts w:hint="eastAsia"/>
          <w:b w:val="0"/>
          <w:bCs w:val="0"/>
          <w:i/>
          <w:color w:val="auto"/>
          <w:sz w:val="20"/>
          <w:highlight w:val="none"/>
          <w:lang w:val="en-US" w:eastAsia="zh-CN"/>
        </w:rPr>
        <w:t>,</w:t>
      </w:r>
    </w:p>
    <w:p>
      <w:pPr>
        <w:pStyle w:val="54"/>
        <w:tabs>
          <w:tab w:val="left" w:pos="2041"/>
        </w:tabs>
        <w:spacing w:after="120" w:line="260" w:lineRule="auto"/>
        <w:ind w:left="850" w:hanging="283"/>
        <w:rPr>
          <w:b w:val="0"/>
          <w:bCs w:val="0"/>
          <w:i/>
          <w:color w:val="auto"/>
          <w:sz w:val="20"/>
          <w:highlight w:val="none"/>
        </w:rPr>
      </w:pPr>
      <w:r>
        <w:rPr>
          <w:b w:val="0"/>
          <w:bCs w:val="0"/>
          <w:i/>
          <w:color w:val="auto"/>
          <w:sz w:val="20"/>
          <w:highlight w:val="none"/>
          <w:lang w:val="en-AU"/>
        </w:rPr>
        <w:t>-</w:t>
      </w:r>
      <w:r>
        <w:rPr>
          <w:b w:val="0"/>
          <w:bCs w:val="0"/>
          <w:i/>
          <w:color w:val="auto"/>
          <w:sz w:val="20"/>
          <w:highlight w:val="none"/>
          <w:lang w:val="en-AU"/>
        </w:rPr>
        <w:tab/>
      </w:r>
      <w:r>
        <w:rPr>
          <w:b w:val="0"/>
          <w:bCs w:val="0"/>
          <w:i/>
          <w:color w:val="auto"/>
          <w:sz w:val="20"/>
          <w:highlight w:val="none"/>
          <w:lang w:val="en-AU"/>
        </w:rPr>
        <w:t xml:space="preserve">if the number of PDSCH symbols allocated </w:t>
      </w:r>
      <w:r>
        <w:rPr>
          <w:rFonts w:hint="eastAsia"/>
          <w:b w:val="0"/>
          <w:bCs w:val="0"/>
          <w:i/>
          <w:color w:val="auto"/>
          <w:sz w:val="20"/>
          <w:highlight w:val="none"/>
          <w:lang w:val="en-US" w:eastAsia="zh-CN"/>
        </w:rPr>
        <w:t xml:space="preserve"> L = 2 or </w:t>
      </w:r>
      <w:r>
        <w:rPr>
          <w:b w:val="0"/>
          <w:bCs w:val="0"/>
          <w:i/>
          <w:color w:val="auto"/>
          <w:sz w:val="20"/>
          <w:highlight w:val="none"/>
          <w:lang w:val="en-AU"/>
        </w:rPr>
        <w:t>3</w:t>
      </w:r>
      <w:r>
        <w:rPr>
          <w:b w:val="0"/>
          <w:bCs w:val="0"/>
          <w:i/>
          <w:color w:val="auto"/>
          <w:sz w:val="20"/>
          <w:highlight w:val="none"/>
          <w:lang w:val="en-AU"/>
        </w:rPr>
        <w:t xml:space="preserve">, then </w:t>
      </w:r>
      <w:r>
        <w:rPr>
          <w:b w:val="0"/>
          <w:bCs w:val="0"/>
          <w:i/>
          <w:color w:val="auto"/>
          <w:sz w:val="20"/>
          <w:highlight w:val="none"/>
        </w:rPr>
        <w:t>d</w:t>
      </w:r>
      <w:r>
        <w:rPr>
          <w:b w:val="0"/>
          <w:bCs w:val="0"/>
          <w:i/>
          <w:color w:val="auto"/>
          <w:sz w:val="20"/>
          <w:highlight w:val="none"/>
          <w:vertAlign w:val="subscript"/>
        </w:rPr>
        <w:t>1,1</w:t>
      </w:r>
      <w:r>
        <w:rPr>
          <w:b w:val="0"/>
          <w:bCs w:val="0"/>
          <w:i/>
          <w:color w:val="auto"/>
          <w:sz w:val="20"/>
          <w:highlight w:val="none"/>
        </w:rPr>
        <w:t xml:space="preserve"> = 3+d, where d is</w:t>
      </w:r>
      <w:r>
        <w:rPr>
          <w:b w:val="0"/>
          <w:bCs w:val="0"/>
          <w:i/>
          <w:color w:val="auto"/>
          <w:sz w:val="20"/>
          <w:highlight w:val="none"/>
          <w:lang w:val="en-AU"/>
        </w:rPr>
        <w:t xml:space="preserve"> the number of overlapping symbols of the scheduling PDCCH and the scheduled PDSCH.</w:t>
      </w:r>
    </w:p>
    <w:p>
      <w:pPr>
        <w:pStyle w:val="47"/>
        <w:spacing w:after="60" w:line="260" w:lineRule="auto"/>
        <w:rPr>
          <w:b w:val="0"/>
          <w:bCs w:val="0"/>
          <w:i/>
          <w:color w:val="auto"/>
          <w:sz w:val="20"/>
          <w:highlight w:val="none"/>
          <w:lang w:val="en-AU"/>
        </w:rPr>
      </w:pPr>
      <w:r>
        <w:rPr>
          <w:b w:val="0"/>
          <w:bCs w:val="0"/>
          <w:i/>
          <w:color w:val="auto"/>
          <w:sz w:val="20"/>
          <w:highlight w:val="none"/>
          <w:lang w:val="en-AU"/>
        </w:rPr>
        <w:t>-</w:t>
      </w:r>
      <w:r>
        <w:rPr>
          <w:b w:val="0"/>
          <w:bCs w:val="0"/>
          <w:i/>
          <w:color w:val="auto"/>
          <w:sz w:val="20"/>
          <w:highlight w:val="none"/>
          <w:lang w:val="en-AU"/>
        </w:rPr>
        <w:tab/>
      </w:r>
      <w:r>
        <w:rPr>
          <w:b w:val="0"/>
          <w:bCs w:val="0"/>
          <w:i/>
          <w:color w:val="auto"/>
          <w:sz w:val="20"/>
          <w:highlight w:val="none"/>
          <w:lang w:val="en-AU"/>
        </w:rPr>
        <w:t xml:space="preserve">For UE processing capability 2, and </w:t>
      </w:r>
    </w:p>
    <w:p>
      <w:pPr>
        <w:pStyle w:val="54"/>
        <w:tabs>
          <w:tab w:val="left" w:pos="2041"/>
        </w:tabs>
        <w:spacing w:after="60" w:line="260" w:lineRule="auto"/>
        <w:rPr>
          <w:b w:val="0"/>
          <w:bCs w:val="0"/>
          <w:i/>
          <w:color w:val="auto"/>
          <w:sz w:val="20"/>
          <w:highlight w:val="none"/>
        </w:rPr>
      </w:pPr>
      <w:r>
        <w:rPr>
          <w:b w:val="0"/>
          <w:bCs w:val="0"/>
          <w:i/>
          <w:color w:val="auto"/>
          <w:sz w:val="20"/>
          <w:highlight w:val="none"/>
        </w:rPr>
        <w:t>-</w:t>
      </w:r>
      <w:r>
        <w:rPr>
          <w:b w:val="0"/>
          <w:bCs w:val="0"/>
          <w:i/>
          <w:color w:val="auto"/>
          <w:sz w:val="20"/>
          <w:highlight w:val="none"/>
        </w:rPr>
        <w:tab/>
      </w:r>
      <w:r>
        <w:rPr>
          <w:b w:val="0"/>
          <w:bCs w:val="0"/>
          <w:i/>
          <w:color w:val="auto"/>
          <w:sz w:val="20"/>
          <w:highlight w:val="none"/>
        </w:rPr>
        <w:t xml:space="preserve">if the number of PDSCH symbols allocated is </w:t>
      </w:r>
      <w:r>
        <w:rPr>
          <w:rFonts w:hint="eastAsia"/>
          <w:b w:val="0"/>
          <w:bCs w:val="0"/>
          <w:i/>
          <w:color w:val="auto"/>
          <w:sz w:val="20"/>
          <w:highlight w:val="none"/>
          <w:lang w:val="en-US" w:eastAsia="zh-CN"/>
        </w:rPr>
        <w:t>L =</w:t>
      </w:r>
      <w:r>
        <w:rPr>
          <w:b w:val="0"/>
          <w:bCs w:val="0"/>
          <w:i/>
          <w:color w:val="auto"/>
          <w:sz w:val="20"/>
          <w:highlight w:val="none"/>
        </w:rPr>
        <w:t xml:space="preserve"> 7</w:t>
      </w:r>
      <w:r>
        <w:rPr>
          <w:rFonts w:hint="eastAsia"/>
          <w:b w:val="0"/>
          <w:bCs w:val="0"/>
          <w:i/>
          <w:color w:val="auto"/>
          <w:sz w:val="20"/>
          <w:highlight w:val="none"/>
          <w:lang w:val="en-US" w:eastAsia="zh-CN"/>
        </w:rPr>
        <w:t xml:space="preserve"> or more</w:t>
      </w:r>
      <w:r>
        <w:rPr>
          <w:b w:val="0"/>
          <w:bCs w:val="0"/>
          <w:i/>
          <w:color w:val="auto"/>
          <w:sz w:val="20"/>
          <w:highlight w:val="none"/>
        </w:rPr>
        <w:t>, then d</w:t>
      </w:r>
      <w:r>
        <w:rPr>
          <w:b w:val="0"/>
          <w:bCs w:val="0"/>
          <w:i/>
          <w:color w:val="auto"/>
          <w:sz w:val="20"/>
          <w:highlight w:val="none"/>
          <w:vertAlign w:val="subscript"/>
        </w:rPr>
        <w:t>1,1</w:t>
      </w:r>
      <w:r>
        <w:rPr>
          <w:b w:val="0"/>
          <w:bCs w:val="0"/>
          <w:i/>
          <w:color w:val="auto"/>
          <w:sz w:val="20"/>
          <w:highlight w:val="none"/>
        </w:rPr>
        <w:t xml:space="preserve"> = 0,</w:t>
      </w:r>
    </w:p>
    <w:p>
      <w:pPr>
        <w:pStyle w:val="54"/>
        <w:tabs>
          <w:tab w:val="left" w:pos="2041"/>
        </w:tabs>
        <w:spacing w:after="60" w:line="260" w:lineRule="auto"/>
        <w:rPr>
          <w:rFonts w:hint="eastAsia" w:eastAsia="宋体"/>
          <w:b w:val="0"/>
          <w:bCs w:val="0"/>
          <w:i/>
          <w:sz w:val="20"/>
          <w:highlight w:val="none"/>
          <w:lang w:val="en-US" w:eastAsia="zh-CN"/>
        </w:rPr>
      </w:pPr>
      <w:r>
        <w:rPr>
          <w:b w:val="0"/>
          <w:bCs w:val="0"/>
          <w:i/>
          <w:color w:val="auto"/>
          <w:sz w:val="20"/>
          <w:highlight w:val="none"/>
        </w:rPr>
        <w:t>-</w:t>
      </w:r>
      <w:r>
        <w:rPr>
          <w:b w:val="0"/>
          <w:bCs w:val="0"/>
          <w:i/>
          <w:color w:val="auto"/>
          <w:sz w:val="20"/>
          <w:highlight w:val="none"/>
        </w:rPr>
        <w:tab/>
      </w:r>
      <w:r>
        <w:rPr>
          <w:b w:val="0"/>
          <w:bCs w:val="0"/>
          <w:i/>
          <w:color w:val="auto"/>
          <w:sz w:val="20"/>
          <w:highlight w:val="none"/>
        </w:rPr>
        <w:t xml:space="preserve">if the number of PDSCH symbols allocated is </w:t>
      </w:r>
      <w:r>
        <w:rPr>
          <w:rFonts w:hint="eastAsia"/>
          <w:b w:val="0"/>
          <w:bCs w:val="0"/>
          <w:i/>
          <w:color w:val="auto"/>
          <w:sz w:val="20"/>
          <w:highlight w:val="none"/>
          <w:lang w:val="en-US" w:eastAsia="zh-CN"/>
        </w:rPr>
        <w:t xml:space="preserve">L = </w:t>
      </w:r>
      <w:r>
        <w:rPr>
          <w:b w:val="0"/>
          <w:bCs w:val="0"/>
          <w:i/>
          <w:color w:val="auto"/>
          <w:sz w:val="20"/>
          <w:highlight w:val="none"/>
        </w:rPr>
        <w:t xml:space="preserve">3, </w:t>
      </w:r>
      <w:r>
        <w:rPr>
          <w:rFonts w:hint="eastAsia"/>
          <w:b w:val="0"/>
          <w:bCs w:val="0"/>
          <w:i/>
          <w:color w:val="auto"/>
          <w:sz w:val="20"/>
          <w:highlight w:val="none"/>
          <w:lang w:val="en-US" w:eastAsia="zh-CN"/>
        </w:rPr>
        <w:t xml:space="preserve">4, </w:t>
      </w:r>
      <w:r>
        <w:rPr>
          <w:b w:val="0"/>
          <w:bCs w:val="0"/>
          <w:i/>
          <w:color w:val="auto"/>
          <w:sz w:val="20"/>
          <w:highlight w:val="none"/>
        </w:rPr>
        <w:t>5, or 6</w:t>
      </w:r>
      <w:r>
        <w:rPr>
          <w:b w:val="0"/>
          <w:bCs w:val="0"/>
          <w:i/>
          <w:sz w:val="20"/>
          <w:highlight w:val="none"/>
        </w:rPr>
        <w:t>, then d</w:t>
      </w:r>
      <w:r>
        <w:rPr>
          <w:b w:val="0"/>
          <w:bCs w:val="0"/>
          <w:i/>
          <w:sz w:val="20"/>
          <w:highlight w:val="none"/>
          <w:vertAlign w:val="subscript"/>
        </w:rPr>
        <w:t>1,1</w:t>
      </w:r>
      <w:r>
        <w:rPr>
          <w:b w:val="0"/>
          <w:bCs w:val="0"/>
          <w:i/>
          <w:sz w:val="20"/>
          <w:highlight w:val="none"/>
        </w:rPr>
        <w:t xml:space="preserve"> is the number of overlapping symbols of the scheduling PDCCH and the scheduled PDSCH</w:t>
      </w:r>
      <w:r>
        <w:rPr>
          <w:rFonts w:hint="eastAsia"/>
          <w:b w:val="0"/>
          <w:bCs w:val="0"/>
          <w:i/>
          <w:sz w:val="20"/>
          <w:highlight w:val="none"/>
          <w:lang w:val="en-US" w:eastAsia="zh-CN"/>
        </w:rPr>
        <w:t>,</w:t>
      </w:r>
    </w:p>
    <w:p>
      <w:pPr>
        <w:pStyle w:val="54"/>
        <w:tabs>
          <w:tab w:val="left" w:pos="2041"/>
        </w:tabs>
        <w:spacing w:after="60" w:line="260" w:lineRule="auto"/>
        <w:rPr>
          <w:b w:val="0"/>
          <w:bCs w:val="0"/>
          <w:i/>
          <w:sz w:val="20"/>
        </w:rPr>
      </w:pPr>
      <w:r>
        <w:rPr>
          <w:b w:val="0"/>
          <w:bCs w:val="0"/>
          <w:i/>
          <w:sz w:val="20"/>
        </w:rPr>
        <w:t>-</w:t>
      </w:r>
      <w:r>
        <w:rPr>
          <w:b w:val="0"/>
          <w:bCs w:val="0"/>
          <w:i/>
          <w:sz w:val="20"/>
        </w:rPr>
        <w:tab/>
      </w:r>
      <w:r>
        <w:rPr>
          <w:b w:val="0"/>
          <w:bCs w:val="0"/>
          <w:i/>
          <w:sz w:val="20"/>
        </w:rPr>
        <w:t xml:space="preserve">if the number of PDSCH symbols allocated is </w:t>
      </w:r>
      <w:r>
        <w:rPr>
          <w:rFonts w:hint="eastAsia"/>
          <w:b w:val="0"/>
          <w:bCs w:val="0"/>
          <w:i/>
          <w:sz w:val="20"/>
          <w:lang w:val="en-US" w:eastAsia="zh-CN"/>
        </w:rPr>
        <w:t>L = 2</w:t>
      </w:r>
      <w:r>
        <w:rPr>
          <w:b w:val="0"/>
          <w:bCs w:val="0"/>
          <w:i/>
          <w:sz w:val="20"/>
        </w:rPr>
        <w:t xml:space="preserve">, then </w:t>
      </w:r>
    </w:p>
    <w:p>
      <w:pPr>
        <w:pStyle w:val="78"/>
        <w:spacing w:after="60" w:line="260" w:lineRule="auto"/>
        <w:ind w:left="1283" w:leftChars="500" w:hanging="283"/>
        <w:rPr>
          <w:i/>
          <w:iCs/>
        </w:rPr>
      </w:pPr>
      <w:r>
        <w:rPr>
          <w:i/>
          <w:iCs/>
        </w:rPr>
        <w:t>-</w:t>
      </w:r>
      <w:r>
        <w:rPr>
          <w:i/>
          <w:iCs/>
        </w:rPr>
        <w:tab/>
      </w:r>
      <w:r>
        <w:rPr>
          <w:i/>
          <w:iCs/>
        </w:rPr>
        <w:t>if the scheduling PDCCH was in a 3-symbol CORESET and the CORESET and the PDSCH had the same starting symbol, then  d</w:t>
      </w:r>
      <w:r>
        <w:rPr>
          <w:i/>
          <w:iCs/>
          <w:vertAlign w:val="subscript"/>
        </w:rPr>
        <w:t>1,1</w:t>
      </w:r>
      <w:r>
        <w:rPr>
          <w:i/>
          <w:iCs/>
        </w:rPr>
        <w:t xml:space="preserve"> = 3,</w:t>
      </w:r>
    </w:p>
    <w:p>
      <w:pPr>
        <w:pStyle w:val="78"/>
        <w:spacing w:line="260" w:lineRule="auto"/>
        <w:ind w:left="1283" w:leftChars="500" w:hanging="283"/>
        <w:rPr>
          <w:i/>
          <w:iCs/>
          <w:lang w:val="en-AU"/>
        </w:rPr>
      </w:pPr>
      <w:r>
        <w:rPr>
          <w:i/>
          <w:iCs/>
        </w:rPr>
        <w:t>-</w:t>
      </w:r>
      <w:r>
        <w:rPr>
          <w:i/>
          <w:iCs/>
        </w:rPr>
        <w:tab/>
      </w:r>
      <w:r>
        <w:rPr>
          <w:i/>
          <w:iCs/>
        </w:rPr>
        <w:t>otherwise d</w:t>
      </w:r>
      <w:r>
        <w:rPr>
          <w:i/>
          <w:iCs/>
          <w:vertAlign w:val="subscript"/>
        </w:rPr>
        <w:t>1,1</w:t>
      </w:r>
      <w:r>
        <w:rPr>
          <w:i/>
          <w:iCs/>
        </w:rPr>
        <w:t xml:space="preserve"> is</w:t>
      </w:r>
      <w:r>
        <w:rPr>
          <w:i/>
          <w:iCs/>
          <w:lang w:val="en-AU"/>
        </w:rPr>
        <w:t xml:space="preserve"> the number of overlapping symbols of the scheduling PDCCH and the scheduled PDSCH.</w:t>
      </w:r>
    </w:p>
    <w:p>
      <w:pPr>
        <w:pStyle w:val="3"/>
        <w:spacing w:before="300"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Dynamic PDCCH monitoring for LBE</w:t>
      </w:r>
    </w:p>
    <w:p>
      <w:pPr>
        <w:jc w:val="both"/>
        <w:rPr>
          <w:rFonts w:hint="eastAsia" w:eastAsia="宋体"/>
          <w:lang w:val="en-US" w:eastAsia="zh-CN"/>
        </w:rPr>
      </w:pPr>
      <w:r>
        <w:rPr>
          <w:rFonts w:hint="eastAsia" w:eastAsia="宋体"/>
          <w:lang w:val="en-US" w:eastAsia="zh-CN"/>
        </w:rPr>
        <w:t>In NR, the PDCCH monitoring information per search space is configured via RRC</w:t>
      </w:r>
      <w:r>
        <w:rPr>
          <w:rFonts w:eastAsia="宋体"/>
          <w:lang w:val="en-US" w:eastAsia="zh-CN"/>
        </w:rPr>
        <w:t>,</w:t>
      </w:r>
      <w:r>
        <w:rPr>
          <w:rFonts w:hint="eastAsia" w:eastAsia="宋体"/>
          <w:lang w:val="en-US" w:eastAsia="zh-CN"/>
        </w:rPr>
        <w:t xml:space="preserve"> </w:t>
      </w:r>
      <w:r>
        <w:rPr>
          <w:rFonts w:eastAsia="宋体"/>
          <w:lang w:val="en-US" w:eastAsia="zh-CN"/>
        </w:rPr>
        <w:t>s</w:t>
      </w:r>
      <w:r>
        <w:rPr>
          <w:rFonts w:hint="eastAsia" w:eastAsia="宋体"/>
          <w:lang w:val="en-US" w:eastAsia="zh-CN"/>
        </w:rPr>
        <w:t>uch as PDCCH monitoring periodicity, offset and symbols for PDCCH monitoring in the slots. In Phase A (outside of gNB</w:t>
      </w:r>
      <w:r>
        <w:rPr>
          <w:rFonts w:eastAsia="宋体"/>
          <w:lang w:val="en-US" w:eastAsia="zh-CN"/>
        </w:rPr>
        <w:t xml:space="preserve">’s </w:t>
      </w:r>
      <w:r>
        <w:rPr>
          <w:rFonts w:hint="eastAsia" w:eastAsia="宋体"/>
          <w:lang w:val="en-US" w:eastAsia="zh-CN"/>
        </w:rPr>
        <w:t>COT), in order to improve spectrum utilization and reduce access delay, UE can monitor PDCCH and corresponding DMRS for DL burst detection with a shorter monitoring periodicity. In implementation, UE can decode PDCCH after DMRS has already been detected so as to saving power consumption. For the first slot of the COT (i.e. Phase B: beginning of gNB</w:t>
      </w:r>
      <w:r>
        <w:rPr>
          <w:rFonts w:eastAsia="宋体"/>
          <w:lang w:val="en-US" w:eastAsia="zh-CN"/>
        </w:rPr>
        <w:t>’</w:t>
      </w:r>
      <w:r>
        <w:rPr>
          <w:rFonts w:hint="eastAsia" w:eastAsia="宋体"/>
          <w:lang w:val="en-US" w:eastAsia="zh-CN"/>
        </w:rPr>
        <w:t xml:space="preserve">s COT), if </w:t>
      </w:r>
      <w:r>
        <w:rPr>
          <w:rFonts w:eastAsia="宋体"/>
          <w:lang w:val="en-US" w:eastAsia="zh-CN"/>
        </w:rPr>
        <w:t>shorter</w:t>
      </w:r>
      <w:r>
        <w:rPr>
          <w:rFonts w:hint="eastAsia" w:eastAsia="宋体"/>
          <w:lang w:val="en-US" w:eastAsia="zh-CN"/>
        </w:rPr>
        <w:t xml:space="preserve"> monitoring </w:t>
      </w:r>
      <w:r>
        <w:rPr>
          <w:rFonts w:eastAsia="宋体"/>
          <w:lang w:val="en-US" w:eastAsia="zh-CN"/>
        </w:rPr>
        <w:t>periodic</w:t>
      </w:r>
      <w:r>
        <w:rPr>
          <w:rFonts w:hint="eastAsia" w:eastAsia="宋体"/>
          <w:lang w:val="en-US" w:eastAsia="zh-CN"/>
        </w:rPr>
        <w:t xml:space="preserve">ity is configured, better performance </w:t>
      </w:r>
      <w:r>
        <w:rPr>
          <w:rFonts w:eastAsia="宋体"/>
          <w:lang w:val="en-US" w:eastAsia="zh-CN"/>
        </w:rPr>
        <w:t xml:space="preserve">may be achieved for </w:t>
      </w:r>
      <w:r>
        <w:rPr>
          <w:rFonts w:hint="eastAsia" w:eastAsia="宋体"/>
          <w:lang w:val="en-US" w:eastAsia="zh-CN"/>
        </w:rPr>
        <w:t>NR unlicensed systems</w:t>
      </w:r>
      <w:r>
        <w:rPr>
          <w:rFonts w:eastAsia="宋体"/>
          <w:lang w:val="en-US" w:eastAsia="zh-CN"/>
        </w:rPr>
        <w:t xml:space="preserve">, </w:t>
      </w:r>
      <w:r>
        <w:rPr>
          <w:rFonts w:hint="eastAsia" w:eastAsia="宋体"/>
          <w:lang w:val="en-US" w:eastAsia="zh-CN"/>
        </w:rPr>
        <w:t xml:space="preserve">due to the </w:t>
      </w:r>
      <w:r>
        <w:rPr>
          <w:rFonts w:eastAsia="宋体"/>
          <w:lang w:val="en-US" w:eastAsia="zh-CN"/>
        </w:rPr>
        <w:t>increased chance of</w:t>
      </w:r>
      <w:r>
        <w:rPr>
          <w:rFonts w:hint="eastAsia" w:eastAsia="宋体"/>
          <w:lang w:val="en-US" w:eastAsia="zh-CN"/>
        </w:rPr>
        <w:t xml:space="preserve"> </w:t>
      </w:r>
      <w:r>
        <w:rPr>
          <w:rFonts w:eastAsia="宋体"/>
          <w:lang w:val="en-US" w:eastAsia="zh-CN"/>
        </w:rPr>
        <w:t xml:space="preserve">PDCCH </w:t>
      </w:r>
      <w:r>
        <w:rPr>
          <w:rFonts w:hint="eastAsia" w:eastAsia="宋体"/>
          <w:lang w:val="en-US" w:eastAsia="zh-CN"/>
        </w:rPr>
        <w:t>transmission. From the beginning of the second slot of the COT (i.e. Phase C: remainder of gNB</w:t>
      </w:r>
      <w:r>
        <w:rPr>
          <w:rFonts w:eastAsia="宋体"/>
          <w:lang w:val="en-US" w:eastAsia="zh-CN"/>
        </w:rPr>
        <w:t>’</w:t>
      </w:r>
      <w:r>
        <w:rPr>
          <w:rFonts w:hint="eastAsia" w:eastAsia="宋体"/>
          <w:lang w:val="en-US" w:eastAsia="zh-CN"/>
        </w:rPr>
        <w:t xml:space="preserve">s COT), the PDCCH monitoring granularity can be </w:t>
      </w:r>
      <w:r>
        <w:rPr>
          <w:rFonts w:eastAsia="宋体"/>
          <w:lang w:val="en-US" w:eastAsia="zh-CN"/>
        </w:rPr>
        <w:t>longer</w:t>
      </w:r>
      <w:r>
        <w:rPr>
          <w:rFonts w:hint="eastAsia" w:eastAsia="宋体"/>
          <w:lang w:val="en-US" w:eastAsia="zh-CN"/>
        </w:rPr>
        <w:t xml:space="preserve">, </w:t>
      </w:r>
      <w:r>
        <w:rPr>
          <w:rFonts w:eastAsia="宋体"/>
          <w:lang w:val="en-US" w:eastAsia="zh-CN"/>
        </w:rPr>
        <w:t>e.g.,</w:t>
      </w:r>
      <w:r>
        <w:rPr>
          <w:rFonts w:hint="eastAsia" w:eastAsia="宋体"/>
          <w:lang w:val="en-US" w:eastAsia="zh-CN"/>
        </w:rPr>
        <w:t xml:space="preserve"> slot-level PDCCH monitoring</w:t>
      </w:r>
      <w:r>
        <w:rPr>
          <w:rFonts w:eastAsia="宋体"/>
          <w:lang w:val="en-US" w:eastAsia="zh-CN"/>
        </w:rPr>
        <w:t xml:space="preserve">, for the sake of </w:t>
      </w:r>
      <w:r>
        <w:rPr>
          <w:rFonts w:hint="eastAsia" w:eastAsia="宋体"/>
          <w:lang w:val="en-US" w:eastAsia="zh-CN"/>
        </w:rPr>
        <w:t xml:space="preserve">UE complexity and power consumption reduction. One </w:t>
      </w:r>
      <w:r>
        <w:rPr>
          <w:rFonts w:eastAsia="宋体"/>
          <w:lang w:val="en-US" w:eastAsia="zh-CN"/>
        </w:rPr>
        <w:t xml:space="preserve">simple </w:t>
      </w:r>
      <w:r>
        <w:rPr>
          <w:rFonts w:hint="eastAsia" w:eastAsia="宋体"/>
          <w:lang w:val="en-US" w:eastAsia="zh-CN"/>
        </w:rPr>
        <w:t xml:space="preserve">example is shown in Figure 1. </w:t>
      </w:r>
    </w:p>
    <w:p>
      <w:pPr>
        <w:jc w:val="both"/>
        <w:rPr>
          <w:rFonts w:hint="eastAsia" w:eastAsia="宋体"/>
          <w:lang w:val="en-US" w:eastAsia="zh-CN"/>
        </w:rPr>
      </w:pPr>
      <w:r>
        <w:rPr>
          <w:rFonts w:hint="eastAsia" w:eastAsia="宋体"/>
          <w:lang w:val="en-US" w:eastAsia="zh-CN"/>
        </w:rPr>
        <w:t xml:space="preserve">For the above issues, RAN1 in RAN1 #98bis meeting has agreed that a </w:t>
      </w:r>
      <w:r>
        <w:t xml:space="preserve">UE can be provided with at least two groups of search space sets for PDCCH. </w:t>
      </w:r>
      <w:r>
        <w:rPr>
          <w:rFonts w:hint="eastAsia" w:eastAsia="宋体"/>
          <w:lang w:val="en-US" w:eastAsia="zh-CN"/>
        </w:rPr>
        <w:t>To balance spectrum efficiency and the difficulties of switching as well as standardization complexity, we think the configuration of two groups for search space sets is a trade-off. No need to support more than two groups of search space sets. Configuring sparse (e.g. slot level) or dense (e.g. mini-slot level) PDCCH monitoring periodicity in each group for Phase A/B/C is an implementation problem, which does not need to be further discussed.</w:t>
      </w:r>
    </w:p>
    <w:p>
      <w:pPr>
        <w:numPr>
          <w:ilvl w:val="255"/>
          <w:numId w:val="0"/>
        </w:numPr>
        <w:spacing w:after="180" w:line="260" w:lineRule="auto"/>
        <w:jc w:val="both"/>
        <w:rPr>
          <w:rFonts w:hint="default" w:eastAsia="Times New Roman"/>
          <w:b w:val="0"/>
          <w:bCs w:val="0"/>
          <w:i/>
          <w:iCs/>
          <w:sz w:val="20"/>
          <w:szCs w:val="20"/>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 xml:space="preserve">: </w:t>
      </w:r>
      <w:r>
        <w:rPr>
          <w:rFonts w:hint="eastAsia" w:eastAsia="Times New Roman"/>
          <w:b w:val="0"/>
          <w:bCs w:val="0"/>
          <w:i/>
          <w:iCs/>
          <w:sz w:val="20"/>
          <w:szCs w:val="20"/>
          <w:lang w:val="en-US" w:eastAsia="zh-CN"/>
        </w:rPr>
        <w:t>No need to support more than two groups of  search space sets for PDCCH.</w:t>
      </w:r>
    </w:p>
    <w:p>
      <w:pPr>
        <w:spacing w:after="60" w:line="260" w:lineRule="auto"/>
        <w:jc w:val="both"/>
        <w:rPr>
          <w:rFonts w:hint="default" w:eastAsia="宋体"/>
          <w:lang w:val="en-US" w:eastAsia="zh-CN"/>
        </w:rPr>
      </w:pPr>
      <w:r>
        <w:rPr>
          <w:rFonts w:hint="eastAsia" w:eastAsia="宋体"/>
          <w:lang w:val="en-US" w:eastAsia="zh-CN"/>
        </w:rPr>
        <w:t>RAN1 also provided two alternatives for the UE performing switching between two groups of search space sets:</w:t>
      </w:r>
    </w:p>
    <w:p>
      <w:pPr>
        <w:pStyle w:val="124"/>
        <w:numPr>
          <w:ilvl w:val="1"/>
          <w:numId w:val="12"/>
        </w:numPr>
        <w:spacing w:after="60" w:line="260" w:lineRule="auto"/>
      </w:pPr>
      <w:r>
        <w:t>Alt 1: implicitly e.g. after detection of [FFS: DL burst, (WB-)DM-RS, GC-PDCCH and/or PDCCH] and/or e.g., based on information on COT structure.</w:t>
      </w:r>
    </w:p>
    <w:p>
      <w:pPr>
        <w:pStyle w:val="124"/>
        <w:numPr>
          <w:ilvl w:val="1"/>
          <w:numId w:val="12"/>
        </w:numPr>
      </w:pPr>
      <w:r>
        <w:t>Alt 2: explicitly in GC-PDCCH and/or PDCCH</w:t>
      </w:r>
    </w:p>
    <w:p>
      <w:pPr>
        <w:jc w:val="both"/>
        <w:rPr>
          <w:rFonts w:hint="default" w:eastAsia="宋体"/>
          <w:lang w:val="en-US" w:eastAsia="zh-CN"/>
        </w:rPr>
      </w:pPr>
      <w:r>
        <w:rPr>
          <w:rFonts w:hint="eastAsia" w:eastAsia="宋体"/>
          <w:lang w:val="en-US" w:eastAsia="zh-CN"/>
        </w:rPr>
        <w:t xml:space="preserve">UE determines the transition from Phase A to Phase B based on DL burst detection e.g. initial signal. Once </w:t>
      </w:r>
      <w:r>
        <w:rPr>
          <w:rFonts w:eastAsia="宋体"/>
          <w:lang w:val="en-US" w:eastAsia="zh-CN"/>
        </w:rPr>
        <w:t>it</w:t>
      </w:r>
      <w:r>
        <w:rPr>
          <w:rFonts w:hint="eastAsia" w:eastAsia="宋体"/>
          <w:lang w:val="en-US" w:eastAsia="zh-CN"/>
        </w:rPr>
        <w:t xml:space="preserve"> detects DMRS or PDCCH together with its DMRS, </w:t>
      </w:r>
      <w:r>
        <w:rPr>
          <w:rFonts w:eastAsia="宋体"/>
          <w:lang w:val="en-US" w:eastAsia="zh-CN"/>
        </w:rPr>
        <w:t xml:space="preserve">the </w:t>
      </w:r>
      <w:r>
        <w:rPr>
          <w:rFonts w:hint="eastAsia" w:eastAsia="宋体"/>
          <w:lang w:val="en-US" w:eastAsia="zh-CN"/>
        </w:rPr>
        <w:t xml:space="preserve">UE starts to detect other RSs/channels including PDCCH according to the above monitoring strategy in Phase B. After the first slot of the COT, UE </w:t>
      </w:r>
      <w:r>
        <w:rPr>
          <w:rFonts w:eastAsia="宋体"/>
          <w:lang w:val="en-US" w:eastAsia="zh-CN"/>
        </w:rPr>
        <w:t>would</w:t>
      </w:r>
      <w:r>
        <w:rPr>
          <w:rFonts w:hint="eastAsia" w:eastAsia="宋体"/>
          <w:lang w:val="en-US" w:eastAsia="zh-CN"/>
        </w:rPr>
        <w:t xml:space="preserve"> transit from Phase B to Phase C. The transition from Phase C to Phase A can depend</w:t>
      </w:r>
      <w:r>
        <w:rPr>
          <w:rFonts w:eastAsia="宋体"/>
          <w:lang w:val="en-US" w:eastAsia="zh-CN"/>
        </w:rPr>
        <w:t>s</w:t>
      </w:r>
      <w:r>
        <w:rPr>
          <w:rFonts w:hint="eastAsia" w:eastAsia="宋体"/>
          <w:lang w:val="en-US" w:eastAsia="zh-CN"/>
        </w:rPr>
        <w:t xml:space="preserve"> on the length or end position of the COT, which has already been agreed to be indicated by DCI format 2_0. Note that not all two ajacent phases in Phase A/B/C need to be switched. In fact, it is possible to configure a same group for two adjacent phases, and there is no need to switch in this case.  In a word, we think UE can be  configured to switch between the groups based on an implicit way.</w:t>
      </w:r>
    </w:p>
    <w:p>
      <w:pPr>
        <w:jc w:val="center"/>
        <w:rPr>
          <w:bCs/>
          <w:lang w:val="en-US" w:eastAsia="zh-CN"/>
        </w:rPr>
      </w:pPr>
      <w:r>
        <w:rPr>
          <w:b/>
        </w:rPr>
        <w:object>
          <v:shape id="_x0000_i1035" o:spt="75" type="#_x0000_t75" style="height:117.5pt;width:470pt;" o:ole="t" filled="f" o:preferrelative="t" stroked="f" coordsize="21600,21600">
            <v:path/>
            <v:fill on="f" focussize="0,0"/>
            <v:stroke on="f" joinstyle="miter"/>
            <v:imagedata r:id="rId16" o:title=""/>
            <o:lock v:ext="edit" aspectratio="t"/>
            <w10:wrap type="none"/>
            <w10:anchorlock/>
          </v:shape>
          <o:OLEObject Type="Embed" ProgID="Visio.Drawing.11" ShapeID="_x0000_i1035" DrawAspect="Content" ObjectID="_1468075731" r:id="rId15">
            <o:LockedField>false</o:LockedField>
          </o:OLEObject>
        </w:object>
      </w:r>
      <w:r>
        <w:rPr>
          <w:rFonts w:hint="eastAsia" w:eastAsia="宋体"/>
          <w:b/>
          <w:lang w:val="en-US" w:eastAsia="zh-CN"/>
        </w:rPr>
        <w:t xml:space="preserve">                                                             </w:t>
      </w:r>
      <w:r>
        <w:rPr>
          <w:bCs/>
          <w:lang w:val="en-US" w:eastAsia="zh-CN"/>
        </w:rPr>
        <w:t xml:space="preserve">Figure </w:t>
      </w:r>
      <w:r>
        <w:rPr>
          <w:rFonts w:hint="eastAsia"/>
          <w:bCs/>
          <w:lang w:val="en-US" w:eastAsia="zh-CN"/>
        </w:rPr>
        <w:t>1:</w:t>
      </w:r>
      <w:r>
        <w:rPr>
          <w:bCs/>
          <w:lang w:val="en-US" w:eastAsia="zh-CN"/>
        </w:rPr>
        <w:t xml:space="preserve"> PDCCH monitoring pattern in a COT</w:t>
      </w:r>
    </w:p>
    <w:p>
      <w:pPr>
        <w:spacing w:after="180" w:line="260" w:lineRule="auto"/>
        <w:jc w:val="both"/>
        <w:rPr>
          <w:rFonts w:hint="eastAsia" w:eastAsia="宋体"/>
          <w:b/>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w:t>
      </w:r>
      <w:r>
        <w:rPr>
          <w:rFonts w:hint="eastAsia" w:eastAsia="宋体"/>
          <w:b/>
          <w:lang w:val="en-US" w:eastAsia="zh-CN"/>
        </w:rPr>
        <w:t xml:space="preserve"> </w:t>
      </w:r>
      <w:r>
        <w:rPr>
          <w:rFonts w:hint="eastAsia" w:eastAsia="宋体"/>
          <w:b w:val="0"/>
          <w:bCs/>
          <w:i/>
          <w:iCs/>
          <w:lang w:val="en-US" w:eastAsia="zh-CN"/>
        </w:rPr>
        <w:t>Alt 1 is preferred, namely, the UE can be configured to switch between two groups of search space sets based on a implicit way.</w:t>
      </w:r>
    </w:p>
    <w:p>
      <w:pPr>
        <w:jc w:val="both"/>
        <w:rPr>
          <w:rFonts w:eastAsia="宋体"/>
          <w:lang w:val="en-US" w:eastAsia="zh-CN"/>
        </w:rPr>
      </w:pPr>
      <w:r>
        <w:rPr>
          <w:rFonts w:eastAsia="宋体"/>
          <w:lang w:val="en-US" w:eastAsia="zh-CN"/>
        </w:rPr>
        <w:t xml:space="preserve">In the </w:t>
      </w:r>
      <w:r>
        <w:t>current Rel-15 specification, UE needs to perform the same PDCCH monitoring pattern configured by RRC</w:t>
      </w:r>
      <w:r>
        <w:rPr>
          <w:rFonts w:hint="eastAsia" w:eastAsia="宋体"/>
          <w:lang w:val="en-US" w:eastAsia="zh-CN"/>
        </w:rPr>
        <w:t xml:space="preserve"> until it is re-configured</w:t>
      </w:r>
      <w:r>
        <w:t xml:space="preserve">. </w:t>
      </w:r>
      <w:r>
        <w:rPr>
          <w:rFonts w:eastAsia="宋体"/>
          <w:lang w:val="en-US" w:eastAsia="zh-CN"/>
        </w:rPr>
        <w:t>In order to have different PDCCH monitoring patterns for a COT, some enhancement</w:t>
      </w:r>
      <w:r>
        <w:rPr>
          <w:rFonts w:hint="eastAsia" w:eastAsia="宋体"/>
          <w:lang w:val="en-US" w:eastAsia="zh-CN"/>
        </w:rPr>
        <w:t>s</w:t>
      </w:r>
      <w:r>
        <w:rPr>
          <w:rFonts w:eastAsia="宋体"/>
          <w:lang w:val="en-US" w:eastAsia="zh-CN"/>
        </w:rPr>
        <w:t xml:space="preserve"> for PDCCH monitoring configuration should be considered. </w:t>
      </w:r>
      <w:r>
        <w:rPr>
          <w:rFonts w:hint="eastAsia" w:eastAsia="宋体"/>
          <w:lang w:val="en-US" w:eastAsia="zh-CN"/>
        </w:rPr>
        <w:t>Pre</w:t>
      </w:r>
      <w:r>
        <w:rPr>
          <w:rFonts w:eastAsia="宋体"/>
          <w:lang w:val="en-US" w:eastAsia="zh-CN"/>
        </w:rPr>
        <w:t>-</w:t>
      </w:r>
      <w:r>
        <w:rPr>
          <w:rFonts w:hint="eastAsia" w:eastAsia="宋体"/>
          <w:lang w:val="en-US" w:eastAsia="zh-CN"/>
        </w:rPr>
        <w:t xml:space="preserve">defined or semi-static configuration method can be considered to </w:t>
      </w:r>
      <w:r>
        <w:rPr>
          <w:rFonts w:eastAsia="宋体"/>
          <w:lang w:val="en-US" w:eastAsia="zh-CN"/>
        </w:rPr>
        <w:t xml:space="preserve">achieve </w:t>
      </w:r>
      <w:r>
        <w:rPr>
          <w:rFonts w:hint="eastAsia" w:eastAsia="宋体"/>
          <w:lang w:val="en-US" w:eastAsia="zh-CN"/>
        </w:rPr>
        <w:t xml:space="preserve">the two PDCCH detection patterns above. However, for semi-static configuration, as the slot detection PDCCH is an absolute slot index configured through search space configuration in </w:t>
      </w:r>
      <w:r>
        <w:rPr>
          <w:rFonts w:eastAsia="宋体"/>
          <w:i/>
          <w:iCs/>
          <w:lang w:val="en-US" w:eastAsia="zh-CN"/>
        </w:rPr>
        <w:t>monitoringSlotPeriodicityAndOffset</w:t>
      </w:r>
      <w:r>
        <w:rPr>
          <w:rFonts w:hint="eastAsia" w:eastAsia="宋体"/>
          <w:lang w:val="en-US" w:eastAsia="zh-CN"/>
        </w:rPr>
        <w:t xml:space="preserve">, it may not be the first slot of the COT. Therefore, the slot </w:t>
      </w:r>
      <w:r>
        <w:rPr>
          <w:rFonts w:eastAsia="宋体"/>
          <w:lang w:val="en-US" w:eastAsia="zh-CN"/>
        </w:rPr>
        <w:t>parameter</w:t>
      </w:r>
      <w:r>
        <w:rPr>
          <w:rFonts w:hint="eastAsia" w:eastAsia="宋体"/>
          <w:lang w:val="en-US" w:eastAsia="zh-CN"/>
        </w:rPr>
        <w:t xml:space="preserve"> defined</w:t>
      </w:r>
      <w:r>
        <w:rPr>
          <w:rFonts w:eastAsia="宋体"/>
          <w:lang w:val="en-US" w:eastAsia="zh-CN"/>
        </w:rPr>
        <w:t xml:space="preserve"> in </w:t>
      </w:r>
      <w:r>
        <w:rPr>
          <w:rFonts w:eastAsia="宋体"/>
          <w:i/>
          <w:iCs/>
          <w:lang w:val="en-US" w:eastAsia="zh-CN"/>
        </w:rPr>
        <w:t>monitoringSlotPeriodicityAndOffset</w:t>
      </w:r>
      <w:r>
        <w:rPr>
          <w:rFonts w:eastAsia="宋体"/>
          <w:lang w:val="en-US" w:eastAsia="zh-CN"/>
        </w:rPr>
        <w:t xml:space="preserve"> should be</w:t>
      </w:r>
      <w:r>
        <w:rPr>
          <w:rFonts w:hint="eastAsia" w:eastAsia="宋体"/>
          <w:lang w:val="en-US" w:eastAsia="zh-CN"/>
        </w:rPr>
        <w:t xml:space="preserve"> changed to</w:t>
      </w:r>
      <w:r>
        <w:rPr>
          <w:rFonts w:eastAsia="宋体"/>
          <w:lang w:val="en-US" w:eastAsia="zh-CN"/>
        </w:rPr>
        <w:t xml:space="preserve"> the slot position in the COT, or the slot index should be start</w:t>
      </w:r>
      <w:r>
        <w:rPr>
          <w:rFonts w:hint="eastAsia" w:eastAsia="宋体"/>
          <w:lang w:val="en-US" w:eastAsia="zh-CN"/>
        </w:rPr>
        <w:t>ed</w:t>
      </w:r>
      <w:r>
        <w:rPr>
          <w:rFonts w:eastAsia="宋体"/>
          <w:lang w:val="en-US" w:eastAsia="zh-CN"/>
        </w:rPr>
        <w:t xml:space="preserve"> from the first slot of the COT.</w:t>
      </w:r>
      <w:r>
        <w:rPr>
          <w:rFonts w:hint="eastAsia" w:eastAsia="宋体"/>
          <w:lang w:val="en-US" w:eastAsia="zh-CN"/>
        </w:rPr>
        <w:t xml:space="preserve"> </w:t>
      </w:r>
    </w:p>
    <w:p>
      <w:pPr>
        <w:numPr>
          <w:ilvl w:val="255"/>
          <w:numId w:val="0"/>
        </w:numPr>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i/>
          <w:iCs/>
          <w:lang w:val="en-US" w:eastAsia="fi-FI"/>
        </w:rPr>
        <w:t xml:space="preserve">In NR-U, </w:t>
      </w:r>
      <w:r>
        <w:rPr>
          <w:rFonts w:hint="eastAsia" w:eastAsia="宋体"/>
          <w:i/>
          <w:iCs/>
          <w:lang w:val="en-US" w:eastAsia="zh-CN"/>
        </w:rPr>
        <w:t>the</w:t>
      </w:r>
      <w:r>
        <w:rPr>
          <w:rFonts w:hint="eastAsia" w:eastAsia="宋体"/>
          <w:i/>
          <w:iCs/>
          <w:lang w:val="en-US" w:eastAsia="fi-FI"/>
        </w:rPr>
        <w:t xml:space="preserve"> </w:t>
      </w:r>
      <w:r>
        <w:rPr>
          <w:rFonts w:hint="eastAsia" w:eastAsia="宋体"/>
          <w:i/>
          <w:iCs/>
          <w:lang w:val="en-US" w:eastAsia="zh-CN"/>
        </w:rPr>
        <w:t xml:space="preserve">slot index indicated in </w:t>
      </w:r>
      <w:r>
        <w:rPr>
          <w:rFonts w:hint="eastAsia" w:eastAsia="宋体"/>
          <w:i/>
          <w:iCs/>
          <w:lang w:val="en-US" w:eastAsia="fi-FI"/>
        </w:rPr>
        <w:t xml:space="preserve">parameter </w:t>
      </w:r>
      <w:r>
        <w:rPr>
          <w:rFonts w:hint="eastAsia" w:eastAsia="宋体"/>
          <w:i/>
          <w:iCs/>
          <w:lang w:val="en-US" w:eastAsia="zh-CN"/>
        </w:rPr>
        <w:t>monitoringSlotPeriodicityAndOffset of the search space</w:t>
      </w:r>
      <w:r>
        <w:rPr>
          <w:rFonts w:hint="eastAsia" w:eastAsia="宋体"/>
          <w:i/>
          <w:iCs/>
          <w:lang w:val="en-US" w:eastAsia="fi-FI"/>
        </w:rPr>
        <w:t xml:space="preserve"> </w:t>
      </w:r>
      <w:r>
        <w:rPr>
          <w:rFonts w:hint="eastAsia" w:eastAsia="宋体"/>
          <w:i/>
          <w:iCs/>
          <w:lang w:val="en-US" w:eastAsia="zh-CN"/>
        </w:rPr>
        <w:t>sh</w:t>
      </w:r>
      <w:r>
        <w:rPr>
          <w:rFonts w:eastAsia="宋体"/>
          <w:i/>
          <w:iCs/>
          <w:lang w:val="en-US" w:eastAsia="zh-CN"/>
        </w:rPr>
        <w:t xml:space="preserve">ould </w:t>
      </w:r>
      <w:r>
        <w:rPr>
          <w:rFonts w:hint="eastAsia" w:eastAsia="宋体"/>
          <w:i/>
          <w:iCs/>
          <w:lang w:val="en-US" w:eastAsia="zh-CN"/>
        </w:rPr>
        <w:t>be defined relative</w:t>
      </w:r>
      <w:r>
        <w:rPr>
          <w:rFonts w:hint="eastAsia" w:eastAsia="宋体"/>
          <w:i/>
          <w:iCs/>
          <w:lang w:val="en-US" w:eastAsia="fi-FI"/>
        </w:rPr>
        <w:t xml:space="preserve"> to the starting </w:t>
      </w:r>
      <w:r>
        <w:rPr>
          <w:rFonts w:hint="eastAsia" w:eastAsia="宋体"/>
          <w:i/>
          <w:iCs/>
          <w:lang w:val="en-US" w:eastAsia="zh-CN"/>
        </w:rPr>
        <w:t>slot of the COT</w:t>
      </w:r>
      <w:r>
        <w:rPr>
          <w:rFonts w:hint="eastAsia" w:eastAsia="宋体"/>
          <w:i/>
          <w:iCs/>
          <w:lang w:val="en-US" w:eastAsia="fi-FI"/>
        </w:rPr>
        <w:t>.</w:t>
      </w:r>
      <w:r>
        <w:rPr>
          <w:rFonts w:hint="eastAsia" w:eastAsia="宋体"/>
          <w:i/>
          <w:iCs/>
          <w:lang w:val="en-US" w:eastAsia="zh-CN"/>
        </w:rPr>
        <w:t xml:space="preserve"> </w:t>
      </w:r>
    </w:p>
    <w:p>
      <w:pPr>
        <w:pStyle w:val="3"/>
        <w:spacing w:after="240" w:line="260" w:lineRule="auto"/>
        <w:jc w:val="both"/>
        <w:rPr>
          <w:rFonts w:eastAsia="宋体" w:cs="Arial"/>
          <w:b/>
          <w:sz w:val="24"/>
          <w:szCs w:val="24"/>
          <w:lang w:val="en-US" w:eastAsia="zh-CN"/>
        </w:rPr>
      </w:pPr>
      <w:r>
        <w:rPr>
          <w:rFonts w:hint="eastAsia" w:eastAsia="宋体" w:cs="Arial"/>
          <w:b/>
          <w:sz w:val="24"/>
          <w:szCs w:val="24"/>
          <w:lang w:val="en-US" w:eastAsia="zh-CN"/>
        </w:rPr>
        <w:t xml:space="preserve"> UE COT detection for FBE</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 xml:space="preserve">Frame Based Equipment (FBE) is specified in ETSI </w:t>
      </w:r>
      <w:r>
        <w:rPr>
          <w:rFonts w:hint="eastAsia" w:eastAsia="宋体"/>
          <w:lang w:val="en-US" w:eastAsia="zh-CN"/>
        </w:rPr>
        <w:t xml:space="preserve"> EN 301 893 [6]</w:t>
      </w:r>
      <w:r>
        <w:rPr>
          <w:rFonts w:hint="eastAsia" w:eastAsia="宋体"/>
          <w:i w:val="0"/>
          <w:iCs w:val="0"/>
          <w:sz w:val="20"/>
          <w:szCs w:val="20"/>
          <w:lang w:val="en-US" w:eastAsia="zh-CN"/>
        </w:rPr>
        <w:t xml:space="preserve"> as equipment where the transmit/receive structure has a periodic timing with a periodicity equal to the Fixed Frame Period, as shown in Figure 2. A single Observation Slot in Idle Period shall have a duration no less than 9 us. </w:t>
      </w:r>
    </w:p>
    <w:p>
      <w:pPr>
        <w:numPr>
          <w:ilvl w:val="-1"/>
          <w:numId w:val="0"/>
        </w:numPr>
        <w:jc w:val="center"/>
      </w:pPr>
      <w:r>
        <w:drawing>
          <wp:inline distT="0" distB="0" distL="114300" distR="114300">
            <wp:extent cx="4506595" cy="2199005"/>
            <wp:effectExtent l="0" t="0" r="825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506595" cy="2199005"/>
                    </a:xfrm>
                    <a:prstGeom prst="rect">
                      <a:avLst/>
                    </a:prstGeom>
                    <a:noFill/>
                    <a:ln>
                      <a:noFill/>
                    </a:ln>
                  </pic:spPr>
                </pic:pic>
              </a:graphicData>
            </a:graphic>
          </wp:inline>
        </w:drawing>
      </w:r>
    </w:p>
    <w:p>
      <w:pPr>
        <w:numPr>
          <w:ilvl w:val="-1"/>
          <w:numId w:val="0"/>
        </w:numPr>
        <w:jc w:val="center"/>
        <w:rPr>
          <w:rFonts w:hint="eastAsia"/>
          <w:lang w:val="en-US" w:eastAsia="zh-CN"/>
        </w:rPr>
      </w:pPr>
      <w:r>
        <w:rPr>
          <w:rFonts w:hint="eastAsia"/>
          <w:lang w:val="en-US" w:eastAsia="zh-CN"/>
        </w:rPr>
        <w:t>Figure 2: Timing for Frame Based Equipment</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The Fixed Frame Periods supported by the equipment shall be declared by the manufacturer. This shall be within the range of 1 ms to 10 ms. Transmissions can start only at the beginning of a Fixed Frame Period. An equipment may change its Fixed Frame Period but it shall not do more than once every 200 ms. Immediately before starting transmissions on an operating channel at the start of a Fixed Frame Period, the initiating device shall perform a CCA check during a single Observation Slot. The COT shall not be greater than 95 % of the Fixed Frame Period and shall be followed by an Idle Period until the start of the next Fixed Frame Period such that the Idle Period is at least 5 % of the Channel Occupancy Time, with a minimum of 100 us.</w:t>
      </w:r>
    </w:p>
    <w:p>
      <w:pPr>
        <w:numPr>
          <w:ilvl w:val="-1"/>
          <w:numId w:val="0"/>
        </w:numPr>
        <w:jc w:val="both"/>
        <w:rPr>
          <w:rFonts w:hint="eastAsia" w:eastAsia="宋体"/>
          <w:i w:val="0"/>
          <w:iCs w:val="0"/>
          <w:sz w:val="20"/>
          <w:szCs w:val="20"/>
          <w:lang w:val="en-US" w:eastAsia="zh-CN"/>
        </w:rPr>
      </w:pPr>
      <w:r>
        <w:rPr>
          <w:rFonts w:hint="eastAsia" w:eastAsia="宋体"/>
          <w:i w:val="0"/>
          <w:iCs w:val="0"/>
          <w:sz w:val="20"/>
          <w:szCs w:val="20"/>
          <w:lang w:val="en-US" w:eastAsia="zh-CN"/>
        </w:rPr>
        <w:t xml:space="preserve">In some scenarios, such as shopping malls, factories, office buildings, FBE (frame based equipment) is a better type of equipment if no other type of equipment exists, as it is beneficial for frequency reuse. From above definition and requirements of FBE, we can see that the channel access mechanism of FBE is based on a fixed frame structure. Therefore, compared with LBE, UE COT detection for FBE is relatively simple. </w:t>
      </w:r>
    </w:p>
    <w:p>
      <w:pPr>
        <w:numPr>
          <w:ilvl w:val="0"/>
          <w:numId w:val="0"/>
        </w:numPr>
        <w:jc w:val="both"/>
        <w:rPr>
          <w:rFonts w:eastAsia="宋体"/>
          <w:lang w:val="en-US" w:eastAsia="zh-CN"/>
        </w:rPr>
      </w:pPr>
      <w:r>
        <w:rPr>
          <w:rFonts w:hint="eastAsia" w:eastAsia="宋体"/>
          <w:lang w:val="en-US" w:eastAsia="zh-CN"/>
        </w:rPr>
        <w:t xml:space="preserve">In order to save power consumption, UE can do no COT detection (including DMRS and PDCCH) to save the power until </w:t>
      </w:r>
      <w:r>
        <w:rPr>
          <w:rFonts w:hint="eastAsia" w:eastAsia="宋体"/>
          <w:i w:val="0"/>
          <w:iCs w:val="0"/>
          <w:sz w:val="20"/>
          <w:szCs w:val="20"/>
          <w:lang w:val="en-US" w:eastAsia="zh-CN"/>
        </w:rPr>
        <w:t xml:space="preserve">Fixed Frame Period starts. UE only needs to start detecting DMRS and GC-PDCCH at the beginning of Fixed Frame Period. </w:t>
      </w:r>
      <w:r>
        <w:rPr>
          <w:rFonts w:hint="eastAsia" w:eastAsia="宋体"/>
          <w:lang w:val="en-US" w:eastAsia="zh-CN"/>
        </w:rPr>
        <w:t>UE determines the transition from Phase A to Phase B</w:t>
      </w:r>
      <w:r>
        <w:rPr>
          <w:rFonts w:hint="eastAsia" w:eastAsia="宋体"/>
          <w:i w:val="0"/>
          <w:iCs w:val="0"/>
          <w:sz w:val="20"/>
          <w:szCs w:val="20"/>
          <w:lang w:val="en-US" w:eastAsia="zh-CN"/>
        </w:rPr>
        <w:t xml:space="preserve"> (beginning of the COT)</w:t>
      </w:r>
      <w:r>
        <w:rPr>
          <w:rFonts w:hint="eastAsia" w:eastAsia="宋体"/>
          <w:lang w:val="en-US" w:eastAsia="zh-CN"/>
        </w:rPr>
        <w:t xml:space="preserve"> based on DL burst detection (i.e. DMRS). Once </w:t>
      </w:r>
      <w:r>
        <w:rPr>
          <w:rFonts w:eastAsia="宋体"/>
          <w:lang w:val="en-US" w:eastAsia="zh-CN"/>
        </w:rPr>
        <w:t>it</w:t>
      </w:r>
      <w:r>
        <w:rPr>
          <w:rFonts w:hint="eastAsia" w:eastAsia="宋体"/>
          <w:lang w:val="en-US" w:eastAsia="zh-CN"/>
        </w:rPr>
        <w:t xml:space="preserve"> detects a</w:t>
      </w:r>
      <w:r>
        <w:rPr>
          <w:rFonts w:eastAsia="宋体"/>
          <w:lang w:val="en-US" w:eastAsia="zh-CN"/>
        </w:rPr>
        <w:t>n</w:t>
      </w:r>
      <w:r>
        <w:rPr>
          <w:rFonts w:hint="eastAsia" w:eastAsia="宋体"/>
          <w:lang w:val="en-US" w:eastAsia="zh-CN"/>
        </w:rPr>
        <w:t xml:space="preserve"> DMRS, UE starts to monitor PDCCH and other RSs/channels. </w:t>
      </w:r>
      <w:r>
        <w:rPr>
          <w:rFonts w:hint="eastAsia" w:eastAsia="宋体"/>
          <w:i w:val="0"/>
          <w:iCs w:val="0"/>
          <w:sz w:val="20"/>
          <w:szCs w:val="20"/>
          <w:lang w:val="en-US" w:eastAsia="zh-CN"/>
        </w:rPr>
        <w:t xml:space="preserve">In order to increase spectrum efficiency and reduce impacts on PDSCH SLIV, the beginning of Fixed Frame Period can be aligned with slot boundary. With this solution, UE can perform same PDCCH monitoring efforts in Phase B and in Phase C (remainder of the COT). </w:t>
      </w:r>
      <w:r>
        <w:rPr>
          <w:rFonts w:hint="eastAsia" w:eastAsia="宋体"/>
          <w:lang w:val="en-US" w:eastAsia="zh-CN"/>
        </w:rPr>
        <w:t>The transition from Phase C to Phase A can depend</w:t>
      </w:r>
      <w:r>
        <w:rPr>
          <w:rFonts w:eastAsia="宋体"/>
          <w:lang w:val="en-US" w:eastAsia="zh-CN"/>
        </w:rPr>
        <w:t>s</w:t>
      </w:r>
      <w:r>
        <w:rPr>
          <w:rFonts w:hint="eastAsia" w:eastAsia="宋体"/>
          <w:lang w:val="en-US" w:eastAsia="zh-CN"/>
        </w:rPr>
        <w:t xml:space="preserve"> on the length or end position of the COT, which can be indicated by DCI format 2_0.</w:t>
      </w:r>
    </w:p>
    <w:p>
      <w:pPr>
        <w:numPr>
          <w:ilvl w:val="255"/>
          <w:numId w:val="0"/>
        </w:numPr>
        <w:jc w:val="both"/>
        <w:rPr>
          <w:rFonts w:hint="eastAsia" w:eastAsia="宋体"/>
          <w:i/>
          <w:iCs/>
          <w:sz w:val="20"/>
          <w:szCs w:val="20"/>
          <w:lang w:val="en-US" w:eastAsia="zh-CN"/>
        </w:rPr>
      </w:pPr>
      <w:r>
        <w:rPr>
          <w:rFonts w:hint="eastAsia" w:eastAsia="宋体"/>
          <w:b/>
          <w:lang w:val="en-US" w:eastAsia="zh-CN"/>
        </w:rPr>
        <w:t>Proposal 7:</w:t>
      </w:r>
      <w:r>
        <w:rPr>
          <w:rFonts w:hint="eastAsia" w:eastAsia="宋体"/>
          <w:b w:val="0"/>
          <w:bCs/>
          <w:i/>
          <w:iCs/>
          <w:lang w:val="en-US" w:eastAsia="zh-CN"/>
        </w:rPr>
        <w:t xml:space="preserve"> For FBE, </w:t>
      </w:r>
      <w:r>
        <w:rPr>
          <w:rFonts w:hint="eastAsia" w:eastAsia="宋体"/>
          <w:i/>
          <w:iCs/>
          <w:sz w:val="20"/>
          <w:szCs w:val="20"/>
          <w:lang w:val="en-US" w:eastAsia="zh-CN"/>
        </w:rPr>
        <w:t>the beginning of Fixed Frame Period can be aligned with slot boundary to increase spectrum efficiency and reduce impacts on PDSCH mapping.</w:t>
      </w:r>
    </w:p>
    <w:p>
      <w:pPr>
        <w:numPr>
          <w:ilvl w:val="255"/>
          <w:numId w:val="0"/>
        </w:numPr>
        <w:jc w:val="both"/>
        <w:rPr>
          <w:rFonts w:hint="eastAsia" w:eastAsia="宋体"/>
          <w:i w:val="0"/>
          <w:iCs w:val="0"/>
          <w:sz w:val="20"/>
          <w:szCs w:val="20"/>
          <w:lang w:val="en-US" w:eastAsia="zh-CN"/>
        </w:rPr>
      </w:pPr>
      <w:r>
        <w:rPr>
          <w:rFonts w:hint="eastAsia" w:eastAsia="宋体"/>
          <w:b/>
          <w:lang w:val="en-US" w:eastAsia="zh-CN"/>
        </w:rPr>
        <w:t>Proposal 8:</w:t>
      </w:r>
      <w:r>
        <w:rPr>
          <w:rFonts w:hint="eastAsia" w:eastAsia="宋体"/>
          <w:b w:val="0"/>
          <w:bCs/>
          <w:i/>
          <w:iCs/>
          <w:lang w:val="en-US" w:eastAsia="zh-CN"/>
        </w:rPr>
        <w:t xml:space="preserve"> For FBE, UE only needs to detect DL burst at the beginning of Fixed Frame Period</w:t>
      </w:r>
      <w:r>
        <w:rPr>
          <w:rFonts w:hint="eastAsia" w:eastAsia="宋体"/>
          <w:i/>
          <w:iCs/>
          <w:sz w:val="20"/>
          <w:szCs w:val="20"/>
          <w:lang w:val="en-US" w:eastAsia="zh-CN"/>
        </w:rPr>
        <w:t>.</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 xml:space="preserve"> COT indication in time-domain</w:t>
      </w:r>
    </w:p>
    <w:p>
      <w:pPr>
        <w:jc w:val="both"/>
        <w:rPr>
          <w:rFonts w:eastAsia="宋体"/>
          <w:lang w:val="en-US" w:eastAsia="zh-CN"/>
        </w:rPr>
      </w:pPr>
      <w:r>
        <w:rPr>
          <w:rFonts w:hint="eastAsia" w:eastAsia="宋体"/>
          <w:lang w:val="en-US" w:eastAsia="zh-CN"/>
        </w:rPr>
        <w:t xml:space="preserve">In licensed band, Rel-15 NR supports dynamic and semi-static slot configuration </w:t>
      </w:r>
      <w:r>
        <w:rPr>
          <w:rFonts w:eastAsia="宋体"/>
          <w:lang w:val="en-US" w:eastAsia="zh-CN"/>
        </w:rPr>
        <w:t>with the</w:t>
      </w:r>
      <w:r>
        <w:rPr>
          <w:rFonts w:hint="eastAsia" w:eastAsia="宋体"/>
          <w:lang w:val="en-US" w:eastAsia="zh-CN"/>
        </w:rPr>
        <w:t xml:space="preserve"> period </w:t>
      </w:r>
      <w:r>
        <w:rPr>
          <w:rFonts w:eastAsia="宋体"/>
          <w:lang w:val="en-US" w:eastAsia="zh-CN"/>
        </w:rPr>
        <w:t>of</w:t>
      </w:r>
      <w:r>
        <w:rPr>
          <w:rFonts w:hint="eastAsia" w:eastAsia="宋体"/>
          <w:lang w:val="en-US" w:eastAsia="zh-CN"/>
        </w:rPr>
        <w:t xml:space="preserve"> {0.5, 0.625, 1, 1.25, 2, 2.5, 3, 4, 5, 10} ms.  The semi-static DL/UL assignment is done via cell-specific and UE-specific RRC configuration. With cell-specific configuration, </w:t>
      </w:r>
      <w:r>
        <w:rPr>
          <w:rFonts w:eastAsia="宋体"/>
          <w:lang w:val="en-US" w:eastAsia="zh-CN"/>
        </w:rPr>
        <w:t>a</w:t>
      </w:r>
      <w:r>
        <w:rPr>
          <w:rFonts w:hint="eastAsia" w:eastAsia="宋体"/>
          <w:lang w:val="en-US" w:eastAsia="zh-CN"/>
        </w:rPr>
        <w:t xml:space="preserve"> UE is allocated a DL-F-UL pattern. The "F" resources are flexible resources that can be assigned DL or UL direction using UE-specific configuration or dynamic signaling. The UE-specific RRC signaling or dynamic signaling includes the indication as per slot basis that can override the "F" allocation in the cell-specific configuration. Resources in the slot configuration that are not indicated as DL/UL remain flexible resources. For NR-U, dynamic and semi-statically configured UL/DL configuration as in licensed band should also be considered. For example, some semi-static UL/DL assignments can be used to indicate DL slots for UE to receive SSB, and some other slots can be assigned for UE to transmit PRACH or configured grant transmission. </w:t>
      </w:r>
    </w:p>
    <w:p>
      <w:pPr>
        <w:jc w:val="both"/>
        <w:rPr>
          <w:rFonts w:hint="eastAsia" w:eastAsia="宋体"/>
          <w:lang w:val="en-US" w:eastAsia="zh-CN"/>
        </w:rPr>
      </w:pPr>
      <w:r>
        <w:rPr>
          <w:rFonts w:hint="eastAsia" w:eastAsia="宋体"/>
          <w:lang w:val="en-US" w:eastAsia="zh-CN"/>
        </w:rPr>
        <w:t>Rel-15 NR PDCCH can be configured to start from any symbol, and the gNB can start downlink transmission from the nearest symbol after a successful LBT, such as in the middle of the slot transmission through the search space configuration</w:t>
      </w:r>
      <w:r>
        <w:rPr>
          <w:rFonts w:eastAsia="宋体"/>
          <w:lang w:val="en-US" w:eastAsia="zh-CN"/>
        </w:rPr>
        <w:t>. T</w:t>
      </w:r>
      <w:r>
        <w:rPr>
          <w:rFonts w:hint="eastAsia" w:eastAsia="宋体"/>
          <w:lang w:val="en-US" w:eastAsia="zh-CN"/>
        </w:rPr>
        <w:t>herefore</w:t>
      </w:r>
      <w:r>
        <w:rPr>
          <w:rFonts w:eastAsia="宋体"/>
          <w:lang w:val="en-US" w:eastAsia="zh-CN"/>
        </w:rPr>
        <w:t>,</w:t>
      </w:r>
      <w:r>
        <w:rPr>
          <w:rFonts w:hint="eastAsia" w:eastAsia="宋体"/>
          <w:lang w:val="en-US" w:eastAsia="zh-CN"/>
        </w:rPr>
        <w:t xml:space="preserve"> once the gNB performs LBT successfully on the semi-statically configured DL slot and symbols, </w:t>
      </w:r>
      <w:r>
        <w:rPr>
          <w:rFonts w:eastAsia="宋体"/>
          <w:lang w:val="en-US" w:eastAsia="zh-CN"/>
        </w:rPr>
        <w:t>it</w:t>
      </w:r>
      <w:r>
        <w:rPr>
          <w:rFonts w:hint="eastAsia" w:eastAsia="宋体"/>
          <w:lang w:val="en-US" w:eastAsia="zh-CN"/>
        </w:rPr>
        <w:t xml:space="preserve"> can </w:t>
      </w:r>
      <w:r>
        <w:rPr>
          <w:rFonts w:eastAsia="宋体"/>
          <w:lang w:val="en-US" w:eastAsia="zh-CN"/>
        </w:rPr>
        <w:t xml:space="preserve">dynamically </w:t>
      </w:r>
      <w:r>
        <w:rPr>
          <w:rFonts w:hint="eastAsia" w:eastAsia="宋体"/>
          <w:lang w:val="en-US" w:eastAsia="zh-CN"/>
        </w:rPr>
        <w:t xml:space="preserve">indicate the COT structure </w:t>
      </w:r>
      <w:r>
        <w:rPr>
          <w:rFonts w:eastAsia="宋体"/>
          <w:lang w:val="en-US" w:eastAsia="zh-CN"/>
        </w:rPr>
        <w:t>via</w:t>
      </w:r>
      <w:r>
        <w:rPr>
          <w:rFonts w:hint="eastAsia" w:eastAsia="宋体"/>
          <w:lang w:val="en-US" w:eastAsia="zh-CN"/>
        </w:rPr>
        <w:t xml:space="preserve"> DCI format 2_0 as shown in Figure 3. </w:t>
      </w:r>
    </w:p>
    <w:p>
      <w:pPr>
        <w:jc w:val="both"/>
      </w:pPr>
      <w:r>
        <w:drawing>
          <wp:inline distT="0" distB="0" distL="114300" distR="114300">
            <wp:extent cx="6118860" cy="1853565"/>
            <wp:effectExtent l="0" t="0" r="15240" b="13335"/>
            <wp:docPr id="8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20"/>
                    <pic:cNvPicPr>
                      <a:picLocks noChangeAspect="1"/>
                    </pic:cNvPicPr>
                  </pic:nvPicPr>
                  <pic:blipFill>
                    <a:blip r:embed="rId18"/>
                    <a:stretch>
                      <a:fillRect/>
                    </a:stretch>
                  </pic:blipFill>
                  <pic:spPr>
                    <a:xfrm>
                      <a:off x="0" y="0"/>
                      <a:ext cx="6118860" cy="185356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Figure 3: COT duration indication in GC-PDCCH</w:t>
      </w:r>
    </w:p>
    <w:p>
      <w:pPr>
        <w:jc w:val="both"/>
        <w:rPr>
          <w:rFonts w:hint="default" w:eastAsia="宋体"/>
          <w:lang w:val="en-US" w:eastAsia="zh-CN"/>
        </w:rPr>
      </w:pPr>
      <w:r>
        <w:rPr>
          <w:rFonts w:hint="eastAsia" w:eastAsia="宋体"/>
          <w:lang w:val="en-US" w:eastAsia="zh-CN"/>
        </w:rPr>
        <w:t>RAN1 in RAN1 #98bis meeting has agreed that adding a COT duration bit-field per serving cell in GC-PDCCH, i.e., DCI format 2_0. RRC will configure presence of this bit-field, and location of this bit-field in the DCI. If the GC-PDCCH indicating COT duration/structure is transmitted only once in the COT and if a UE misses it, the UE can not know the end of the COT and COT structure. Thus the GC-PDCCH indicating COT duration and COT structure can be transmitted more than once in a COT. Furthermore, Missing the initial signal or the first GC-PDCCH will also cause the UE can not know where the beginning of the COT is. In this case, defining the indicated COT duration as a total length is not appropriate. So we think the COT duration in each GC-PDCCH can be encoded as remaining length.</w:t>
      </w:r>
    </w:p>
    <w:p>
      <w:pPr>
        <w:numPr>
          <w:ilvl w:val="255"/>
          <w:numId w:val="0"/>
        </w:numPr>
        <w:jc w:val="both"/>
        <w:rPr>
          <w:rFonts w:hint="eastAsia" w:eastAsia="宋体"/>
          <w:lang w:val="en-US" w:eastAsia="zh-CN"/>
        </w:rPr>
      </w:pPr>
      <w:r>
        <w:rPr>
          <w:rFonts w:hint="eastAsia" w:eastAsia="宋体"/>
          <w:b/>
          <w:lang w:val="en-US" w:eastAsia="zh-CN"/>
        </w:rPr>
        <w:t>Proposal 9:</w:t>
      </w:r>
      <w:r>
        <w:rPr>
          <w:rFonts w:hint="eastAsia" w:eastAsia="宋体"/>
          <w:b w:val="0"/>
          <w:bCs/>
          <w:i/>
          <w:iCs/>
          <w:lang w:val="en-US" w:eastAsia="zh-CN"/>
        </w:rPr>
        <w:t xml:space="preserve"> </w:t>
      </w:r>
      <w:r>
        <w:rPr>
          <w:rFonts w:hint="eastAsia" w:eastAsia="宋体"/>
          <w:i/>
          <w:iCs/>
          <w:lang w:val="en-US" w:eastAsia="zh-CN"/>
        </w:rPr>
        <w:t>The GC-PDCCH indicating COT duration and/or COT structure can be transmitted more than once in a COT.</w:t>
      </w:r>
    </w:p>
    <w:p>
      <w:pPr>
        <w:numPr>
          <w:ilvl w:val="255"/>
          <w:numId w:val="0"/>
        </w:numPr>
        <w:jc w:val="both"/>
        <w:rPr>
          <w:rFonts w:hint="default" w:eastAsia="宋体"/>
          <w:lang w:val="en-US" w:eastAsia="zh-CN"/>
        </w:rPr>
      </w:pPr>
      <w:r>
        <w:rPr>
          <w:rFonts w:hint="eastAsia" w:eastAsia="宋体"/>
          <w:b/>
          <w:lang w:val="en-US" w:eastAsia="zh-CN"/>
        </w:rPr>
        <w:t>Proposal 10:</w:t>
      </w:r>
      <w:r>
        <w:rPr>
          <w:rFonts w:hint="eastAsia" w:eastAsia="宋体"/>
          <w:b w:val="0"/>
          <w:bCs/>
          <w:i/>
          <w:iCs/>
          <w:lang w:val="en-US" w:eastAsia="zh-CN"/>
        </w:rPr>
        <w:t xml:space="preserve"> </w:t>
      </w:r>
      <w:r>
        <w:rPr>
          <w:rFonts w:hint="eastAsia" w:eastAsia="宋体"/>
          <w:i/>
          <w:iCs/>
          <w:lang w:val="en-US" w:eastAsia="zh-CN"/>
        </w:rPr>
        <w:t>The COT duration in each GC-PDCCH is encoded as remaining length.</w:t>
      </w:r>
    </w:p>
    <w:p>
      <w:pPr>
        <w:jc w:val="both"/>
        <w:rPr>
          <w:rFonts w:hint="eastAsia" w:eastAsia="宋体"/>
          <w:iCs/>
          <w:lang w:val="en-US" w:eastAsia="zh-CN"/>
        </w:rPr>
      </w:pPr>
      <w:r>
        <w:rPr>
          <w:rFonts w:hint="eastAsia" w:eastAsia="宋体"/>
          <w:lang w:val="en-US" w:eastAsia="zh-CN"/>
        </w:rPr>
        <w:t>The size of the existing DCI format 2_0 is configurable by higher layers up to 128 bits. As illustrated in Figure 3, we can see that even though the total COT length can be an integer multiple of milliseconds/slots (e.g. 10 ms or 10 slots), the remaining length indicated in each GC-PDCCH during the COT may still be fractional milliseconds/slots. If the basic granularity of the COT duration is one slot or one millisecond, it is impossible to indicate the number of remaining symbols in the last partial slot. That will cause the UE not to acquire the knowledge about the exact position of end-of-COT. Therefore, the granularity of the signaled duration can be a OFDM symbol. As the maximum COT is 10 ms in 5 GHz unlicensed band (</w:t>
      </w:r>
      <w:r>
        <w:rPr>
          <w:position w:val="-14"/>
        </w:rPr>
        <w:object>
          <v:shape id="_x0000_i1036" o:spt="75" type="#_x0000_t75" style="height:19.2pt;width:30.35pt;" o:ole="t" filled="f" o:preferrelative="t" stroked="f" coordsize="21600,21600">
            <v:path/>
            <v:fill on="f" alignshape="1" focussize="0,0"/>
            <v:stroke on="f"/>
            <v:imagedata r:id="rId20" o:title=""/>
            <o:lock v:ext="edit" aspectratio="t"/>
            <w10:wrap type="none"/>
            <w10:anchorlock/>
          </v:shape>
          <o:OLEObject Type="Embed" ProgID="Equation.3" ShapeID="_x0000_i1036" DrawAspect="Content" ObjectID="_1468075732" r:id="rId19">
            <o:LockedField>false</o:LockedField>
          </o:OLEObject>
        </w:object>
      </w:r>
      <w:r>
        <w:rPr>
          <w:rFonts w:hint="eastAsia" w:eastAsia="宋体"/>
          <w:lang w:val="en-US" w:eastAsia="zh-CN"/>
        </w:rPr>
        <w:t xml:space="preserve">= 2, 3, 8 or 10 ms according to different channel access priority classes), the maximum number of OFDM symbols of remaining length with 30 kHz SCS </w:t>
      </w:r>
      <w:r>
        <w:rPr>
          <w:rFonts w:hint="eastAsia" w:eastAsia="宋体"/>
          <w:position w:val="-10"/>
          <w:lang w:val="en-US" w:eastAsia="zh-CN"/>
        </w:rPr>
        <w:object>
          <v:shape id="_x0000_i1037" o:spt="75" type="#_x0000_t75" style="height:13.7pt;width:69.4pt;" o:ole="t" filled="f" o:preferrelative="t" stroked="f" coordsize="21600,21600">
            <v:path/>
            <v:fill on="f" focussize="0,0"/>
            <v:stroke on="f"/>
            <v:imagedata r:id="rId22" o:title=""/>
            <o:lock v:ext="edit" aspectratio="t"/>
            <w10:wrap type="none"/>
            <w10:anchorlock/>
          </v:shape>
          <o:OLEObject Type="Embed" ProgID="Equation.KSEE3" ShapeID="_x0000_i1037" DrawAspect="Content" ObjectID="_1468075733" r:id="rId21">
            <o:LockedField>false</o:LockedField>
          </o:OLEObject>
        </w:object>
      </w:r>
      <w:r>
        <w:rPr>
          <w:rFonts w:hint="eastAsia" w:eastAsia="宋体"/>
          <w:lang w:val="en-US" w:eastAsia="zh-CN"/>
        </w:rPr>
        <w:t xml:space="preserve"> equals to 280. Thus if the length of the COT duration bit-field is not configurable, the bit-field should include </w:t>
      </w:r>
      <w:r>
        <w:rPr>
          <w:rFonts w:hint="eastAsia" w:eastAsia="宋体"/>
          <w:position w:val="-12"/>
          <w:lang w:val="en-US" w:eastAsia="zh-CN"/>
        </w:rPr>
        <w:object>
          <v:shape id="_x0000_i1038" o:spt="75" type="#_x0000_t75" style="height:19pt;width:103pt;" o:ole="t" filled="f" o:preferrelative="t" stroked="f" coordsize="21600,21600">
            <v:path/>
            <v:fill on="f" focussize="0,0"/>
            <v:stroke on="f"/>
            <v:imagedata r:id="rId24" o:title=""/>
            <o:lock v:ext="edit" aspectratio="t"/>
            <w10:wrap type="none"/>
            <w10:anchorlock/>
          </v:shape>
          <o:OLEObject Type="Embed" ProgID="Equation.KSEE3" ShapeID="_x0000_i1038" DrawAspect="Content" ObjectID="_1468075734" r:id="rId23">
            <o:LockedField>false</o:LockedField>
          </o:OLEObject>
        </w:object>
      </w:r>
      <w:r>
        <w:rPr>
          <w:rFonts w:hint="eastAsia" w:eastAsia="宋体"/>
          <w:lang w:val="en-US" w:eastAsia="zh-CN"/>
        </w:rPr>
        <w:t>= 9 bits. In Rel-15 NR, t</w:t>
      </w:r>
      <w:r>
        <w:rPr>
          <w:rFonts w:eastAsia="宋体"/>
          <w:lang w:val="en-US" w:eastAsia="zh-CN"/>
        </w:rPr>
        <w:t xml:space="preserve">he SFI-index field includes </w:t>
      </w:r>
      <w:r>
        <w:rPr>
          <w:position w:val="-10"/>
        </w:rPr>
        <w:object>
          <v:shape id="_x0000_i1039" o:spt="75" type="#_x0000_t75" style="height:17.6pt;width:136pt;" o:ole="t" filled="f" o:preferrelative="t" stroked="f" coordsize="21600,21600">
            <v:path/>
            <v:fill on="f" focussize="0,0"/>
            <v:stroke on="f" joinstyle="miter"/>
            <v:imagedata r:id="rId26" o:title=""/>
            <o:lock v:ext="edit" aspectratio="t"/>
            <w10:wrap type="none"/>
            <w10:anchorlock/>
          </v:shape>
          <o:OLEObject Type="Embed" ProgID="Equation.3" ShapeID="_x0000_i1039" DrawAspect="Content" ObjectID="_1468075735" r:id="rId25">
            <o:LockedField>false</o:LockedField>
          </o:OLEObject>
        </w:object>
      </w:r>
      <w:r>
        <w:t xml:space="preserve"> bits where maxSFIindex is the maximum value of the values provided by corresponding </w:t>
      </w:r>
      <w:r>
        <w:rPr>
          <w:lang w:val="en-US" w:eastAsia="zh-CN"/>
        </w:rPr>
        <w:t xml:space="preserve">higher layer parameters </w:t>
      </w:r>
      <w:r>
        <w:rPr>
          <w:i/>
          <w:lang w:val="en-US"/>
        </w:rPr>
        <w:t>slotFormatCombinationId</w:t>
      </w:r>
      <w:r>
        <w:rPr>
          <w:rFonts w:hint="eastAsia" w:eastAsia="宋体"/>
          <w:i w:val="0"/>
          <w:iCs/>
          <w:lang w:val="en-US" w:eastAsia="zh-CN"/>
        </w:rPr>
        <w:t xml:space="preserve"> (0-511)</w:t>
      </w:r>
      <w:r>
        <w:rPr>
          <w:rFonts w:eastAsia="宋体"/>
          <w:iCs/>
          <w:lang w:val="en-US" w:eastAsia="zh-CN"/>
        </w:rPr>
        <w:t xml:space="preserve">. </w:t>
      </w:r>
      <w:r>
        <w:rPr>
          <w:rFonts w:hint="eastAsia" w:eastAsia="宋体"/>
          <w:iCs/>
          <w:lang w:val="en-US" w:eastAsia="zh-CN"/>
        </w:rPr>
        <w:t>As a comparison, we can find that the maximum bit-width of duration bit-field is the same as that of SFI-index field in DCI format 2_0.</w:t>
      </w:r>
    </w:p>
    <w:p>
      <w:pPr>
        <w:numPr>
          <w:ilvl w:val="255"/>
          <w:numId w:val="0"/>
        </w:numPr>
        <w:jc w:val="both"/>
        <w:rPr>
          <w:rFonts w:hint="default" w:eastAsia="宋体"/>
          <w:i/>
          <w:iCs/>
          <w:lang w:val="en-US" w:eastAsia="zh-CN"/>
        </w:rPr>
      </w:pPr>
      <w:r>
        <w:rPr>
          <w:rFonts w:hint="eastAsia" w:eastAsia="宋体"/>
          <w:b/>
          <w:lang w:val="en-US" w:eastAsia="zh-CN"/>
        </w:rPr>
        <w:t>Proposal 11:</w:t>
      </w:r>
      <w:r>
        <w:rPr>
          <w:rFonts w:hint="eastAsia" w:eastAsia="宋体"/>
          <w:b w:val="0"/>
          <w:bCs/>
          <w:i/>
          <w:iCs/>
          <w:lang w:val="en-US" w:eastAsia="zh-CN"/>
        </w:rPr>
        <w:t xml:space="preserve"> The g</w:t>
      </w:r>
      <w:r>
        <w:rPr>
          <w:rFonts w:hint="eastAsia" w:eastAsia="宋体"/>
          <w:i/>
          <w:iCs/>
          <w:lang w:val="en-US" w:eastAsia="zh-CN"/>
        </w:rPr>
        <w:t>ranularity of the signaled duration can be a OFDM symbol.</w:t>
      </w:r>
    </w:p>
    <w:p>
      <w:pPr>
        <w:numPr>
          <w:ilvl w:val="255"/>
          <w:numId w:val="0"/>
        </w:numPr>
        <w:jc w:val="both"/>
        <w:rPr>
          <w:rFonts w:hint="default" w:eastAsia="宋体"/>
          <w:i/>
          <w:iCs/>
          <w:lang w:val="en-US" w:eastAsia="zh-CN"/>
        </w:rPr>
      </w:pPr>
      <w:r>
        <w:rPr>
          <w:rFonts w:hint="eastAsia" w:eastAsia="宋体"/>
          <w:b/>
          <w:lang w:val="en-US" w:eastAsia="zh-CN"/>
        </w:rPr>
        <w:t>Proposal 12:</w:t>
      </w:r>
      <w:r>
        <w:rPr>
          <w:rFonts w:hint="eastAsia" w:eastAsia="宋体"/>
          <w:b w:val="0"/>
          <w:bCs/>
          <w:i/>
          <w:iCs/>
          <w:lang w:val="en-US" w:eastAsia="zh-CN"/>
        </w:rPr>
        <w:t xml:space="preserve"> If the length of COT duration bit-field in GC-PDCCH is not configurable, a single value  e.g. 9 bits for it can be considered.</w:t>
      </w:r>
    </w:p>
    <w:p>
      <w:pPr>
        <w:numPr>
          <w:ilvl w:val="255"/>
          <w:numId w:val="0"/>
        </w:numPr>
        <w:jc w:val="both"/>
        <w:rPr>
          <w:rFonts w:hint="eastAsia"/>
          <w:i w:val="0"/>
          <w:iCs/>
          <w:lang w:val="en-US" w:eastAsia="zh-CN"/>
        </w:rPr>
      </w:pPr>
      <w:r>
        <w:rPr>
          <w:rFonts w:hint="eastAsia" w:eastAsia="宋体"/>
          <w:i w:val="0"/>
          <w:iCs w:val="0"/>
          <w:lang w:val="en-US" w:eastAsia="zh-CN"/>
        </w:rPr>
        <w:t xml:space="preserve">If COT duration field is not present and if SFI is available, UE should use SFI indication to determined end-of-COT. Specifically speaking, </w:t>
      </w:r>
      <w:r>
        <w:rPr>
          <w:rFonts w:hint="eastAsia"/>
          <w:i w:val="0"/>
          <w:iCs/>
          <w:lang w:val="en-US" w:eastAsia="zh-CN"/>
        </w:rPr>
        <w:t>f</w:t>
      </w:r>
      <w:r>
        <w:rPr>
          <w:i w:val="0"/>
          <w:iCs/>
          <w:lang w:val="en-GB" w:eastAsia="zh-CN"/>
        </w:rPr>
        <w:t xml:space="preserve">lexible symbol can be used to indicate </w:t>
      </w:r>
      <w:r>
        <w:rPr>
          <w:rFonts w:hint="eastAsia"/>
          <w:i w:val="0"/>
          <w:iCs/>
          <w:lang w:val="en-US" w:eastAsia="zh-CN"/>
        </w:rPr>
        <w:t>end-of-COT</w:t>
      </w:r>
      <w:r>
        <w:rPr>
          <w:i w:val="0"/>
          <w:iCs/>
          <w:lang w:val="en-GB" w:eastAsia="zh-CN"/>
        </w:rPr>
        <w:t xml:space="preserve">, </w:t>
      </w:r>
      <w:r>
        <w:rPr>
          <w:rFonts w:hint="eastAsia"/>
          <w:i w:val="0"/>
          <w:iCs/>
          <w:lang w:val="en-US" w:eastAsia="zh-CN"/>
        </w:rPr>
        <w:t xml:space="preserve">as long as </w:t>
      </w:r>
      <w:r>
        <w:rPr>
          <w:i w:val="0"/>
          <w:iCs/>
          <w:lang w:val="en-GB" w:eastAsia="zh-CN"/>
        </w:rPr>
        <w:t xml:space="preserve">there are no DL or UL symbols after flexible symbol </w:t>
      </w:r>
      <w:r>
        <w:rPr>
          <w:rFonts w:hint="eastAsia"/>
          <w:i w:val="0"/>
          <w:iCs/>
          <w:lang w:val="en-US" w:eastAsia="zh-CN"/>
        </w:rPr>
        <w:t>in last slot format in the slot format combination indicated by</w:t>
      </w:r>
      <w:r>
        <w:rPr>
          <w:i w:val="0"/>
          <w:iCs/>
          <w:lang w:val="en-GB" w:eastAsia="zh-CN"/>
        </w:rPr>
        <w:t xml:space="preserve"> DCI format 2_0</w:t>
      </w:r>
      <w:r>
        <w:rPr>
          <w:rFonts w:hint="eastAsia"/>
          <w:i w:val="0"/>
          <w:iCs/>
          <w:lang w:val="en-US" w:eastAsia="zh-CN"/>
        </w:rPr>
        <w:t xml:space="preserve">. </w:t>
      </w:r>
    </w:p>
    <w:p>
      <w:pPr>
        <w:numPr>
          <w:ilvl w:val="255"/>
          <w:numId w:val="0"/>
        </w:numPr>
        <w:jc w:val="both"/>
        <w:rPr>
          <w:rFonts w:hint="eastAsia"/>
          <w:i/>
          <w:iCs w:val="0"/>
          <w:lang w:val="en-US" w:eastAsia="zh-CN"/>
        </w:rPr>
      </w:pPr>
      <w:r>
        <w:rPr>
          <w:rFonts w:hint="eastAsia" w:eastAsia="宋体"/>
          <w:b/>
          <w:lang w:val="en-US" w:eastAsia="zh-CN"/>
        </w:rPr>
        <w:t>Proposal 13:</w:t>
      </w:r>
      <w:r>
        <w:rPr>
          <w:rFonts w:hint="eastAsia" w:eastAsia="宋体"/>
          <w:b w:val="0"/>
          <w:bCs/>
          <w:i/>
          <w:iCs/>
          <w:lang w:val="en-US" w:eastAsia="zh-CN"/>
        </w:rPr>
        <w:t xml:space="preserve"> F</w:t>
      </w:r>
      <w:r>
        <w:rPr>
          <w:i/>
          <w:iCs w:val="0"/>
          <w:lang w:val="en-GB" w:eastAsia="zh-CN"/>
        </w:rPr>
        <w:t xml:space="preserve">lexible symbol can be used to indicate </w:t>
      </w:r>
      <w:r>
        <w:rPr>
          <w:rFonts w:hint="eastAsia"/>
          <w:i/>
          <w:iCs w:val="0"/>
          <w:lang w:val="en-US" w:eastAsia="zh-CN"/>
        </w:rPr>
        <w:t>end-of-COT</w:t>
      </w:r>
      <w:r>
        <w:rPr>
          <w:i/>
          <w:iCs w:val="0"/>
          <w:lang w:val="en-GB" w:eastAsia="zh-CN"/>
        </w:rPr>
        <w:t xml:space="preserve">, </w:t>
      </w:r>
      <w:r>
        <w:rPr>
          <w:rFonts w:hint="eastAsia"/>
          <w:i/>
          <w:iCs w:val="0"/>
          <w:lang w:val="en-US" w:eastAsia="zh-CN"/>
        </w:rPr>
        <w:t xml:space="preserve">as long as </w:t>
      </w:r>
      <w:r>
        <w:rPr>
          <w:i/>
          <w:iCs w:val="0"/>
          <w:lang w:val="en-GB" w:eastAsia="zh-CN"/>
        </w:rPr>
        <w:t xml:space="preserve">there are no DL or UL symbols after flexible symbol </w:t>
      </w:r>
      <w:r>
        <w:rPr>
          <w:rFonts w:hint="eastAsia"/>
          <w:i/>
          <w:iCs w:val="0"/>
          <w:lang w:val="en-US" w:eastAsia="zh-CN"/>
        </w:rPr>
        <w:t>in last slot format in the slot format combination indicated by</w:t>
      </w:r>
      <w:r>
        <w:rPr>
          <w:i/>
          <w:iCs w:val="0"/>
          <w:lang w:val="en-GB" w:eastAsia="zh-CN"/>
        </w:rPr>
        <w:t xml:space="preserve"> DCI format 2</w:t>
      </w:r>
      <w:r>
        <w:rPr>
          <w:rFonts w:hint="eastAsia"/>
          <w:i/>
          <w:iCs w:val="0"/>
          <w:lang w:val="en-US" w:eastAsia="zh-CN"/>
        </w:rPr>
        <w:t>_</w:t>
      </w:r>
      <w:r>
        <w:rPr>
          <w:i/>
          <w:iCs w:val="0"/>
          <w:lang w:val="en-GB" w:eastAsia="zh-CN"/>
        </w:rPr>
        <w:t>0</w:t>
      </w:r>
      <w:r>
        <w:rPr>
          <w:rFonts w:hint="eastAsia"/>
          <w:i/>
          <w:iCs w:val="0"/>
          <w:lang w:val="en-US" w:eastAsia="zh-CN"/>
        </w:rPr>
        <w:t>.</w:t>
      </w:r>
    </w:p>
    <w:p>
      <w:pPr>
        <w:numPr>
          <w:ilvl w:val="255"/>
          <w:numId w:val="0"/>
        </w:numPr>
        <w:jc w:val="both"/>
        <w:rPr>
          <w:rFonts w:hint="default"/>
          <w:i/>
          <w:iCs w:val="0"/>
          <w:lang w:val="en-US" w:eastAsia="zh-CN"/>
        </w:rPr>
      </w:pPr>
      <w:r>
        <w:rPr>
          <w:i w:val="0"/>
          <w:iCs w:val="0"/>
          <w:lang w:val="en-US"/>
        </w:rPr>
        <w:t xml:space="preserve">Cat 4 </w:t>
      </w:r>
      <w:r>
        <w:rPr>
          <w:rFonts w:hint="eastAsia" w:eastAsia="宋体"/>
          <w:i w:val="0"/>
          <w:iCs w:val="0"/>
          <w:lang w:val="en-US" w:eastAsia="zh-CN"/>
        </w:rPr>
        <w:t xml:space="preserve">LBT </w:t>
      </w:r>
      <w:r>
        <w:rPr>
          <w:i w:val="0"/>
          <w:iCs w:val="0"/>
          <w:lang w:val="en-US"/>
        </w:rPr>
        <w:t xml:space="preserve">UL transmission (including CG) switching to </w:t>
      </w:r>
      <w:r>
        <w:rPr>
          <w:rFonts w:hint="eastAsia" w:eastAsia="宋体"/>
          <w:i w:val="0"/>
          <w:iCs w:val="0"/>
          <w:lang w:val="en-US" w:eastAsia="zh-CN"/>
        </w:rPr>
        <w:t>C</w:t>
      </w:r>
      <w:r>
        <w:rPr>
          <w:i w:val="0"/>
          <w:iCs w:val="0"/>
          <w:lang w:val="en-US"/>
        </w:rPr>
        <w:t xml:space="preserve">at </w:t>
      </w:r>
      <w:r>
        <w:rPr>
          <w:rFonts w:hint="eastAsia" w:eastAsia="宋体"/>
          <w:i w:val="0"/>
          <w:iCs w:val="0"/>
          <w:lang w:val="en-US" w:eastAsia="zh-CN"/>
        </w:rPr>
        <w:t xml:space="preserve">1 LBT / Cat 2 LBT with 16us or 25us </w:t>
      </w:r>
      <w:r>
        <w:rPr>
          <w:i w:val="0"/>
          <w:iCs w:val="0"/>
          <w:lang w:val="en-US"/>
        </w:rPr>
        <w:t>when fall in gNB COT</w:t>
      </w:r>
      <w:r>
        <w:rPr>
          <w:rFonts w:hint="eastAsia" w:eastAsia="宋体"/>
          <w:i w:val="0"/>
          <w:iCs w:val="0"/>
          <w:lang w:val="en-US" w:eastAsia="zh-CN"/>
        </w:rPr>
        <w:t xml:space="preserve"> should be supported. For supporting above switching, </w:t>
      </w:r>
      <w:r>
        <w:rPr>
          <w:rFonts w:hint="eastAsia" w:eastAsia="宋体"/>
          <w:i w:val="0"/>
          <w:iCs w:val="0"/>
          <w:sz w:val="20"/>
          <w:szCs w:val="20"/>
          <w:highlight w:val="none"/>
          <w:lang w:val="en-US" w:eastAsia="zh-CN"/>
        </w:rPr>
        <w:t>COT sharing i</w:t>
      </w:r>
      <w:r>
        <w:rPr>
          <w:rFonts w:hint="eastAsia" w:eastAsia="宋体"/>
          <w:sz w:val="20"/>
          <w:szCs w:val="20"/>
          <w:highlight w:val="none"/>
          <w:lang w:val="en-US" w:eastAsia="zh-CN"/>
        </w:rPr>
        <w:t>nformation can be informed to the UE for indicating whether UL transmission (including CG) can share the current COT when fall in gNB COT and LBT type (e.g. Cat 1 LBT or Cat 2 LBT with 16us or 25us) if COT sharing is allowed.</w:t>
      </w:r>
    </w:p>
    <w:p>
      <w:pPr>
        <w:numPr>
          <w:ilvl w:val="255"/>
          <w:numId w:val="0"/>
        </w:numPr>
        <w:spacing w:after="180"/>
        <w:jc w:val="both"/>
        <w:rPr>
          <w:rFonts w:hint="eastAsia" w:eastAsia="宋体"/>
          <w:i/>
          <w:iCs/>
          <w:lang w:val="en-US" w:eastAsia="zh-CN"/>
        </w:rPr>
      </w:pPr>
      <w:r>
        <w:rPr>
          <w:rFonts w:hint="eastAsia" w:eastAsia="宋体"/>
          <w:b/>
          <w:lang w:val="en-US" w:eastAsia="zh-CN"/>
        </w:rPr>
        <w:t>Proposal 14:</w:t>
      </w:r>
      <w:r>
        <w:rPr>
          <w:rFonts w:hint="eastAsia" w:eastAsia="宋体"/>
          <w:b w:val="0"/>
          <w:bCs/>
          <w:i/>
          <w:iCs/>
          <w:lang w:val="en-US" w:eastAsia="zh-CN"/>
        </w:rPr>
        <w:t xml:space="preserve"> </w:t>
      </w:r>
      <w:r>
        <w:rPr>
          <w:i/>
          <w:iCs/>
          <w:lang w:val="en-US"/>
        </w:rPr>
        <w:t xml:space="preserve">Cat 4 </w:t>
      </w:r>
      <w:r>
        <w:rPr>
          <w:rFonts w:hint="eastAsia" w:eastAsia="宋体"/>
          <w:i/>
          <w:iCs/>
          <w:lang w:val="en-US" w:eastAsia="zh-CN"/>
        </w:rPr>
        <w:t xml:space="preserve">LBT </w:t>
      </w:r>
      <w:r>
        <w:rPr>
          <w:i/>
          <w:iCs/>
          <w:lang w:val="en-US"/>
        </w:rPr>
        <w:t xml:space="preserve">UL transmission (including CG) switching to </w:t>
      </w:r>
      <w:r>
        <w:rPr>
          <w:rFonts w:hint="eastAsia" w:eastAsia="宋体"/>
          <w:i/>
          <w:iCs/>
          <w:lang w:val="en-US" w:eastAsia="zh-CN"/>
        </w:rPr>
        <w:t>C</w:t>
      </w:r>
      <w:r>
        <w:rPr>
          <w:i/>
          <w:iCs/>
          <w:lang w:val="en-US"/>
        </w:rPr>
        <w:t xml:space="preserve">at </w:t>
      </w:r>
      <w:r>
        <w:rPr>
          <w:rFonts w:hint="eastAsia" w:eastAsia="宋体"/>
          <w:i/>
          <w:iCs/>
          <w:lang w:val="en-US" w:eastAsia="zh-CN"/>
        </w:rPr>
        <w:t xml:space="preserve">1 LBT / Cat </w:t>
      </w:r>
      <w:r>
        <w:rPr>
          <w:i/>
          <w:iCs/>
          <w:lang w:val="en-US"/>
        </w:rPr>
        <w:t>2</w:t>
      </w:r>
      <w:r>
        <w:rPr>
          <w:rFonts w:hint="eastAsia" w:eastAsia="宋体"/>
          <w:i/>
          <w:iCs/>
          <w:lang w:val="en-US" w:eastAsia="zh-CN"/>
        </w:rPr>
        <w:t xml:space="preserve"> LBT with 16us or 25us</w:t>
      </w:r>
      <w:r>
        <w:rPr>
          <w:i/>
          <w:iCs/>
          <w:lang w:val="en-US"/>
        </w:rPr>
        <w:t xml:space="preserve"> when fall in gNB COT</w:t>
      </w:r>
      <w:r>
        <w:rPr>
          <w:rFonts w:hint="eastAsia" w:eastAsia="宋体"/>
          <w:i/>
          <w:iCs/>
          <w:lang w:val="en-US" w:eastAsia="zh-CN"/>
        </w:rPr>
        <w:t xml:space="preserve"> should be supported.</w:t>
      </w:r>
    </w:p>
    <w:p>
      <w:pPr>
        <w:numPr>
          <w:ilvl w:val="255"/>
          <w:numId w:val="0"/>
        </w:numPr>
        <w:spacing w:after="180"/>
        <w:jc w:val="both"/>
        <w:rPr>
          <w:rFonts w:eastAsia="宋体"/>
          <w:i/>
          <w:iCs/>
          <w:lang w:val="en-US" w:eastAsia="zh-CN"/>
        </w:rPr>
      </w:pPr>
      <w:r>
        <w:rPr>
          <w:rFonts w:hint="eastAsia" w:eastAsia="宋体"/>
          <w:b/>
          <w:lang w:val="en-US" w:eastAsia="zh-CN"/>
        </w:rPr>
        <w:t>Proposal 15:</w:t>
      </w:r>
      <w:r>
        <w:rPr>
          <w:rFonts w:hint="eastAsia" w:eastAsia="宋体"/>
          <w:b w:val="0"/>
          <w:bCs/>
          <w:i/>
          <w:iCs/>
          <w:lang w:val="en-US" w:eastAsia="zh-CN"/>
        </w:rPr>
        <w:t xml:space="preserve"> </w:t>
      </w:r>
      <w:r>
        <w:rPr>
          <w:rFonts w:hint="eastAsia" w:eastAsia="宋体"/>
          <w:i/>
          <w:iCs/>
          <w:sz w:val="20"/>
          <w:szCs w:val="20"/>
          <w:highlight w:val="none"/>
          <w:lang w:val="en-US" w:eastAsia="zh-CN"/>
        </w:rPr>
        <w:t>COT sharing information can be informed to the UE, including sharing indicator for indicating whether UL transmission can share the current COT when fall in gNB COT and LBT type (e.g. Cat 1 LBT or Cat 2 LBT with 16us or 25us) if COT sharing is allowed..</w:t>
      </w:r>
    </w:p>
    <w:p>
      <w:pPr>
        <w:pStyle w:val="3"/>
        <w:numPr>
          <w:ilvl w:val="1"/>
          <w:numId w:val="1"/>
        </w:numPr>
        <w:tabs>
          <w:tab w:val="clear" w:pos="720"/>
        </w:tabs>
        <w:spacing w:after="180" w:line="260" w:lineRule="auto"/>
        <w:jc w:val="both"/>
        <w:rPr>
          <w:rFonts w:hint="eastAsia" w:ascii="Arial" w:hAnsi="Arial" w:eastAsia="宋体" w:cs="Arial"/>
          <w:b/>
          <w:bCs/>
          <w:sz w:val="24"/>
          <w:szCs w:val="24"/>
          <w:lang w:val="en-US" w:eastAsia="zh-CN"/>
        </w:rPr>
      </w:pPr>
      <w:r>
        <w:rPr>
          <w:rFonts w:hint="eastAsia" w:eastAsia="宋体" w:cs="Arial"/>
          <w:b/>
          <w:bCs/>
          <w:sz w:val="24"/>
          <w:szCs w:val="24"/>
          <w:lang w:val="en-US" w:eastAsia="zh-CN"/>
        </w:rPr>
        <w:t xml:space="preserve"> </w:t>
      </w:r>
      <w:r>
        <w:rPr>
          <w:rFonts w:hint="eastAsia" w:ascii="Arial" w:hAnsi="Arial" w:eastAsia="宋体" w:cs="Arial"/>
          <w:b/>
          <w:bCs/>
          <w:sz w:val="24"/>
          <w:szCs w:val="24"/>
          <w:lang w:val="en-US" w:eastAsia="zh-CN"/>
        </w:rPr>
        <w:t>COT indication in frequency-domain</w:t>
      </w:r>
    </w:p>
    <w:p>
      <w:pPr>
        <w:adjustRightInd w:val="0"/>
        <w:snapToGrid w:val="0"/>
        <w:spacing w:before="120" w:after="120"/>
        <w:jc w:val="both"/>
        <w:rPr>
          <w:rFonts w:hint="eastAsia" w:eastAsia="宋体"/>
          <w:i w:val="0"/>
          <w:iCs w:val="0"/>
          <w:lang w:val="en-US" w:eastAsia="zh-CN"/>
        </w:rPr>
      </w:pPr>
      <w:r>
        <w:rPr>
          <w:rFonts w:hint="eastAsia" w:eastAsia="宋体"/>
          <w:i w:val="0"/>
          <w:iCs w:val="0"/>
          <w:lang w:val="en-US" w:eastAsia="zh-CN"/>
        </w:rPr>
        <w:t xml:space="preserve">In RAN1 #97 meeting, explicit indication via </w:t>
      </w:r>
      <w:r>
        <w:rPr>
          <w:i w:val="0"/>
          <w:iCs w:val="0"/>
          <w:lang w:eastAsia="ko-KR"/>
        </w:rPr>
        <w:t xml:space="preserve">GC-PDCCH </w:t>
      </w:r>
      <w:r>
        <w:rPr>
          <w:rFonts w:hint="eastAsia" w:eastAsia="宋体"/>
          <w:i w:val="0"/>
          <w:iCs w:val="0"/>
          <w:lang w:val="en-US" w:eastAsia="zh-CN"/>
        </w:rPr>
        <w:t xml:space="preserve">(if it is configured) </w:t>
      </w:r>
      <w:r>
        <w:rPr>
          <w:i w:val="0"/>
          <w:iCs w:val="0"/>
          <w:lang w:eastAsia="ko-KR"/>
        </w:rPr>
        <w:t xml:space="preserve">is supported as a mechanism to inform the UE that one or more carriers </w:t>
      </w:r>
      <w:r>
        <w:rPr>
          <w:rFonts w:hint="eastAsia" w:eastAsia="宋体"/>
          <w:i w:val="0"/>
          <w:iCs w:val="0"/>
          <w:lang w:val="en-US" w:eastAsia="zh-CN"/>
        </w:rPr>
        <w:t xml:space="preserve">or </w:t>
      </w:r>
      <w:r>
        <w:rPr>
          <w:i w:val="0"/>
          <w:iCs w:val="0"/>
          <w:lang w:eastAsia="ko-KR"/>
        </w:rPr>
        <w:t>LBT bandwidths are not available or available for DL reception, at least for slot(s) that are not at the beginning of DL transmission burst.</w:t>
      </w:r>
      <w:r>
        <w:rPr>
          <w:rFonts w:hint="eastAsia" w:eastAsia="宋体"/>
          <w:i w:val="0"/>
          <w:iCs w:val="0"/>
          <w:lang w:val="en-US" w:eastAsia="zh-CN"/>
        </w:rPr>
        <w:t xml:space="preserve"> In RAN1 #98 meeting, RAN1 further supported to add</w:t>
      </w:r>
      <w:r>
        <w:t xml:space="preserve"> a bitmap</w:t>
      </w:r>
      <w:r>
        <w:rPr>
          <w:rFonts w:hint="eastAsia" w:eastAsia="宋体"/>
          <w:lang w:val="en-US" w:eastAsia="zh-CN"/>
        </w:rPr>
        <w:t xml:space="preserve"> </w:t>
      </w:r>
      <w:r>
        <w:t>corresponding to</w:t>
      </w:r>
      <w:r>
        <w:rPr>
          <w:rFonts w:hint="eastAsia" w:eastAsia="宋体"/>
          <w:lang w:val="en-US" w:eastAsia="zh-CN"/>
        </w:rPr>
        <w:t xml:space="preserve"> </w:t>
      </w:r>
      <w:r>
        <w:t>available LBT bandwidths in the GC-PDCCH DCI</w:t>
      </w:r>
      <w:r>
        <w:rPr>
          <w:rFonts w:hint="eastAsia" w:eastAsia="宋体"/>
          <w:lang w:val="en-US" w:eastAsia="zh-CN"/>
        </w:rPr>
        <w:t xml:space="preserve">. </w:t>
      </w:r>
      <w:r>
        <w:rPr>
          <w:rFonts w:hint="eastAsia" w:eastAsia="宋体"/>
          <w:i w:val="0"/>
          <w:iCs w:val="0"/>
          <w:lang w:val="en-US" w:eastAsia="zh-CN"/>
        </w:rPr>
        <w:t xml:space="preserve">Some remaining issues on indication in frequency domain i.e. three FFSs in RAN1#97 agreements need to be clarified. </w:t>
      </w:r>
    </w:p>
    <w:p>
      <w:pPr>
        <w:pStyle w:val="125"/>
        <w:numPr>
          <w:ilvl w:val="1"/>
          <w:numId w:val="15"/>
        </w:numPr>
        <w:spacing w:after="160" w:line="252" w:lineRule="auto"/>
        <w:ind w:left="780" w:leftChars="0"/>
        <w:contextualSpacing/>
        <w:rPr>
          <w:rFonts w:ascii="Calibri" w:hAnsi="Calibri"/>
          <w:i/>
          <w:iCs/>
          <w:lang w:eastAsia="zh-CN"/>
        </w:rPr>
      </w:pPr>
      <w:r>
        <w:rPr>
          <w:i/>
          <w:iCs/>
          <w:lang w:eastAsia="ko-KR"/>
        </w:rPr>
        <w:t>FFS: Signalling details of the indication, including e.g., the time domain validity of the indication</w:t>
      </w:r>
    </w:p>
    <w:p>
      <w:pPr>
        <w:pStyle w:val="125"/>
        <w:numPr>
          <w:ilvl w:val="1"/>
          <w:numId w:val="15"/>
        </w:numPr>
        <w:spacing w:after="160" w:line="252" w:lineRule="auto"/>
        <w:ind w:left="780" w:leftChars="0"/>
        <w:contextualSpacing/>
        <w:rPr>
          <w:i/>
          <w:iCs/>
          <w:lang w:eastAsia="ko-KR"/>
        </w:rPr>
      </w:pPr>
      <w:r>
        <w:rPr>
          <w:i/>
          <w:iCs/>
          <w:lang w:eastAsia="ko-KR"/>
        </w:rPr>
        <w:t>FFS: Whether and how to support the mechanism at the beginning of DL transmission burst</w:t>
      </w:r>
    </w:p>
    <w:p>
      <w:pPr>
        <w:pStyle w:val="125"/>
        <w:numPr>
          <w:ilvl w:val="1"/>
          <w:numId w:val="15"/>
        </w:numPr>
        <w:spacing w:after="180" w:line="252" w:lineRule="auto"/>
        <w:ind w:left="782" w:leftChars="0" w:hanging="363"/>
        <w:contextualSpacing/>
        <w:rPr>
          <w:i/>
          <w:iCs/>
          <w:lang w:eastAsia="ko-KR"/>
        </w:rPr>
      </w:pPr>
      <w:r>
        <w:rPr>
          <w:i/>
          <w:iCs/>
          <w:lang w:eastAsia="ko-KR"/>
        </w:rPr>
        <w:t>FFS: Whether and how to handle the case when GC-PDCCH is not configured or not received by the UE</w:t>
      </w:r>
    </w:p>
    <w:p>
      <w:pPr>
        <w:adjustRightInd w:val="0"/>
        <w:snapToGrid w:val="0"/>
        <w:spacing w:before="120" w:after="120"/>
        <w:jc w:val="both"/>
        <w:rPr>
          <w:rFonts w:eastAsia="Malgun Gothic"/>
          <w:lang w:val="en-US" w:eastAsia="ko-KR"/>
        </w:rPr>
      </w:pPr>
      <w:r>
        <w:rPr>
          <w:rFonts w:hint="eastAsia" w:eastAsia="宋体"/>
          <w:i w:val="0"/>
          <w:iCs w:val="0"/>
          <w:lang w:val="en-US" w:eastAsia="zh-CN"/>
        </w:rPr>
        <w:t xml:space="preserve">Since it is difficult for a gNB or a UE to perform LBT on other LBT sub-bands within a COT obtained in the available sub-band, especially on adjacent LBT sub-bands. The reason is that the transmission power in the available sub-band will leak to other adjacent LBT sub-bands, resulting in inaccurate LBT results, which way is similar to full-duplex operation. Therefore, the time domain validity of indication can be extended to the whole COT. Furthermore, when GC-PDCCH is not configured or not received by the UE, or at the beginning of DL transmission burst, </w:t>
      </w:r>
      <w:r>
        <w:rPr>
          <w:rFonts w:hint="eastAsia"/>
          <w:bCs/>
          <w:lang w:val="en-US" w:eastAsia="zh-CN"/>
        </w:rPr>
        <w:t xml:space="preserve">The UE can </w:t>
      </w:r>
      <w:r>
        <w:rPr>
          <w:bCs/>
          <w:lang w:val="en-US" w:eastAsia="zh-CN"/>
        </w:rPr>
        <w:t>obtain</w:t>
      </w:r>
      <w:r>
        <w:rPr>
          <w:rFonts w:hint="eastAsia"/>
          <w:bCs/>
          <w:lang w:val="en-US" w:eastAsia="zh-CN"/>
        </w:rPr>
        <w:t xml:space="preserve"> </w:t>
      </w:r>
      <w:r>
        <w:rPr>
          <w:bCs/>
          <w:lang w:val="en-US" w:eastAsia="zh-CN"/>
        </w:rPr>
        <w:t xml:space="preserve">the information about </w:t>
      </w:r>
      <w:r>
        <w:rPr>
          <w:rFonts w:hint="eastAsia"/>
          <w:bCs/>
          <w:lang w:val="en-US" w:eastAsia="zh-CN"/>
        </w:rPr>
        <w:t xml:space="preserve">LBT </w:t>
      </w:r>
      <w:r>
        <w:rPr>
          <w:bCs/>
          <w:lang w:val="en-US" w:eastAsia="zh-CN"/>
        </w:rPr>
        <w:t>outcome</w:t>
      </w:r>
      <w:r>
        <w:rPr>
          <w:rFonts w:hint="eastAsia"/>
          <w:bCs/>
          <w:lang w:val="en-US" w:eastAsia="zh-CN"/>
        </w:rPr>
        <w:t xml:space="preserve"> </w:t>
      </w:r>
      <w:r>
        <w:rPr>
          <w:bCs/>
          <w:lang w:val="en-US" w:eastAsia="zh-CN"/>
        </w:rPr>
        <w:t>in</w:t>
      </w:r>
      <w:r>
        <w:rPr>
          <w:rFonts w:hint="eastAsia"/>
          <w:bCs/>
          <w:lang w:val="en-US" w:eastAsia="zh-CN"/>
        </w:rPr>
        <w:t xml:space="preserve"> each sub</w:t>
      </w:r>
      <w:r>
        <w:rPr>
          <w:bCs/>
          <w:lang w:val="en-US" w:eastAsia="zh-CN"/>
        </w:rPr>
        <w:t>-</w:t>
      </w:r>
      <w:r>
        <w:rPr>
          <w:rFonts w:hint="eastAsia"/>
          <w:bCs/>
          <w:lang w:val="en-US" w:eastAsia="zh-CN"/>
        </w:rPr>
        <w:t>band based on initial signal e.g. DMRS</w:t>
      </w:r>
      <w:r>
        <w:rPr>
          <w:bCs/>
          <w:lang w:val="en-US" w:eastAsia="zh-CN"/>
        </w:rPr>
        <w:t xml:space="preserve">. </w:t>
      </w:r>
      <w:r>
        <w:rPr>
          <w:rFonts w:hint="eastAsia" w:eastAsia="宋体"/>
          <w:lang w:val="en-US" w:eastAsia="zh-CN"/>
        </w:rPr>
        <w:t xml:space="preserve">For example, the </w:t>
      </w:r>
      <w:r>
        <w:rPr>
          <w:rFonts w:eastAsia="Malgun Gothic"/>
          <w:lang w:val="en-US" w:eastAsia="ko-KR"/>
        </w:rPr>
        <w:t>UE performs DMRS detection on every LBT sub-band individually within single active DL BWP, and the</w:t>
      </w:r>
      <w:r>
        <w:rPr>
          <w:rFonts w:hint="eastAsia" w:eastAsia="宋体"/>
          <w:lang w:val="en-US" w:eastAsia="zh-CN"/>
        </w:rPr>
        <w:t>n</w:t>
      </w:r>
      <w:r>
        <w:rPr>
          <w:rFonts w:eastAsia="Malgun Gothic"/>
          <w:lang w:val="en-US" w:eastAsia="ko-KR"/>
        </w:rPr>
        <w:t xml:space="preserve"> UE performs </w:t>
      </w:r>
      <w:r>
        <w:rPr>
          <w:rFonts w:hint="eastAsia" w:eastAsia="宋体"/>
          <w:lang w:val="en-US" w:eastAsia="zh-CN"/>
        </w:rPr>
        <w:t>other RSs/channels</w:t>
      </w:r>
      <w:r>
        <w:rPr>
          <w:rFonts w:eastAsia="Malgun Gothic"/>
          <w:lang w:val="en-US" w:eastAsia="ko-KR"/>
        </w:rPr>
        <w:t xml:space="preserve"> detection on LBT sub-band(s) where DMRS is detected.</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16</w:t>
      </w:r>
      <w:r>
        <w:rPr>
          <w:b/>
          <w:snapToGrid w:val="0"/>
        </w:rPr>
        <w:t xml:space="preserve">: </w:t>
      </w:r>
      <w:r>
        <w:rPr>
          <w:rFonts w:hint="eastAsia" w:eastAsia="宋体"/>
          <w:bCs/>
          <w:i/>
          <w:iCs/>
          <w:lang w:val="en-US" w:eastAsia="zh-CN"/>
        </w:rPr>
        <w:t>GC-PDCCH indication in frequency domain issues are to be solved in the following way:</w:t>
      </w:r>
    </w:p>
    <w:p>
      <w:pPr>
        <w:numPr>
          <w:ilvl w:val="0"/>
          <w:numId w:val="18"/>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18"/>
        </w:numPr>
        <w:spacing w:after="180" w:line="260" w:lineRule="auto"/>
        <w:ind w:left="726" w:hanging="363"/>
        <w:jc w:val="both"/>
        <w:rPr>
          <w:i/>
          <w:iCs/>
          <w:lang w:val="en-US"/>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pStyle w:val="3"/>
        <w:spacing w:after="180" w:line="260" w:lineRule="auto"/>
        <w:jc w:val="both"/>
        <w:rPr>
          <w:rFonts w:eastAsia="宋体" w:cs="Arial"/>
          <w:b/>
          <w:sz w:val="24"/>
          <w:szCs w:val="24"/>
          <w:lang w:val="en-US" w:eastAsia="zh-CN"/>
        </w:rPr>
      </w:pPr>
      <w:r>
        <w:rPr>
          <w:rFonts w:hint="eastAsia" w:eastAsia="宋体" w:cs="Arial"/>
          <w:b/>
          <w:sz w:val="24"/>
          <w:szCs w:val="24"/>
          <w:lang w:val="en-US" w:eastAsia="zh-CN"/>
        </w:rPr>
        <w:t xml:space="preserve"> CSI-RS</w:t>
      </w:r>
    </w:p>
    <w:p>
      <w:pPr>
        <w:jc w:val="both"/>
        <w:rPr>
          <w:rFonts w:hint="eastAsia" w:eastAsia="宋体"/>
          <w:sz w:val="20"/>
          <w:szCs w:val="20"/>
          <w:lang w:val="en-US" w:eastAsia="zh-CN"/>
        </w:rPr>
      </w:pPr>
      <w:r>
        <w:rPr>
          <w:rFonts w:hint="eastAsia" w:eastAsia="宋体"/>
          <w:sz w:val="20"/>
          <w:szCs w:val="20"/>
          <w:lang w:val="en-US" w:eastAsia="zh-CN"/>
        </w:rPr>
        <w:t xml:space="preserve">Rel-15 NR supports a CSI-RS with 1, 2 and 4 OFDM symbols and up to 32 antenna ports. The functionalities of CSI-RS include mobility support, CSI acquisition, L1 RSRP computation and tracking. CSI-RS can </w:t>
      </w:r>
      <w:r>
        <w:rPr>
          <w:rFonts w:eastAsia="宋体"/>
          <w:sz w:val="20"/>
          <w:szCs w:val="20"/>
          <w:lang w:val="en-US" w:eastAsia="zh-CN"/>
        </w:rPr>
        <w:t>b</w:t>
      </w:r>
      <w:r>
        <w:rPr>
          <w:rFonts w:hint="eastAsia" w:eastAsia="宋体"/>
          <w:sz w:val="20"/>
          <w:szCs w:val="20"/>
          <w:lang w:val="en-US" w:eastAsia="zh-CN"/>
        </w:rPr>
        <w:t>e sent as a NR-U DRS component together with SS/PBCH block, type-0 PDCCH and RMSI PDSCH. How CSI-RS and SS/PBCH block multiplex in time/frequency domain please refer to companion contribution [7].</w:t>
      </w:r>
    </w:p>
    <w:p>
      <w:pPr>
        <w:jc w:val="both"/>
        <w:rPr>
          <w:rFonts w:hint="default" w:eastAsia="宋体"/>
          <w:sz w:val="20"/>
          <w:szCs w:val="20"/>
          <w:lang w:val="en-US" w:eastAsia="zh-CN"/>
        </w:rPr>
      </w:pPr>
      <w:r>
        <w:rPr>
          <w:rFonts w:hint="eastAsia" w:eastAsia="宋体"/>
          <w:sz w:val="20"/>
          <w:szCs w:val="20"/>
          <w:lang w:val="en-US" w:eastAsia="zh-CN"/>
        </w:rPr>
        <w:t>Similar to LTE, Rel-15 NR also supports periodic, aperiodic and semi-persist</w:t>
      </w:r>
      <w:r>
        <w:rPr>
          <w:rFonts w:eastAsia="宋体"/>
          <w:sz w:val="20"/>
          <w:szCs w:val="20"/>
          <w:lang w:val="en-US" w:eastAsia="zh-CN"/>
        </w:rPr>
        <w:t>ent</w:t>
      </w:r>
      <w:r>
        <w:rPr>
          <w:rFonts w:hint="eastAsia" w:eastAsia="宋体"/>
          <w:sz w:val="20"/>
          <w:szCs w:val="20"/>
          <w:lang w:val="en-US" w:eastAsia="zh-CN"/>
        </w:rPr>
        <w:t xml:space="preserve"> CSI-RS transmission. For NR-U, due to the requirement of LBT, aperiodic CSI-RS can well match the characteristics of opportunistic transmission in unlicensed spectrum. It can be triggered to be sent after gNB obtains a COT. Periodic/semi-persistent CSI-RS may fail to be sent at a time point according to semi-static configuration due to the failure of LBT. However, considering periodic/semi-persistent CSI-RS is conductive to signaling overhead reduction and channel state information maintenance, periodic/semi-persistent CSI-RS should also be supported even if their transmission can not be always guaranteed due to LBT. RAN2 has agreed that RAN2 can assume that missing measurements due to LBT failures do not impact the RAN2 specification of L3 filtering and the subsequent steps. We don</w:t>
      </w:r>
      <w:r>
        <w:rPr>
          <w:rFonts w:hint="default" w:eastAsia="宋体"/>
          <w:sz w:val="20"/>
          <w:szCs w:val="20"/>
          <w:lang w:val="en-US" w:eastAsia="zh-CN"/>
        </w:rPr>
        <w:t>’</w:t>
      </w:r>
      <w:r>
        <w:rPr>
          <w:rFonts w:hint="eastAsia" w:eastAsia="宋体"/>
          <w:sz w:val="20"/>
          <w:szCs w:val="20"/>
          <w:lang w:val="en-US" w:eastAsia="zh-CN"/>
        </w:rPr>
        <w:t>t think there is anything that needs to be specially defined for behavior when P/SP-CSI-RS fail to transmit due to LBT.</w:t>
      </w:r>
    </w:p>
    <w:p>
      <w:pPr>
        <w:numPr>
          <w:ilvl w:val="255"/>
          <w:numId w:val="0"/>
        </w:numPr>
        <w:spacing w:line="260" w:lineRule="auto"/>
        <w:jc w:val="both"/>
        <w:rPr>
          <w:rFonts w:hint="default" w:eastAsia="宋体" w:cs="Arial"/>
          <w:b/>
          <w:sz w:val="24"/>
          <w:szCs w:val="24"/>
          <w:lang w:val="en-US" w:eastAsia="zh-CN"/>
        </w:rPr>
      </w:pPr>
      <w:r>
        <w:rPr>
          <w:rFonts w:eastAsia="宋体"/>
          <w:b/>
          <w:lang w:eastAsia="zh-CN"/>
        </w:rPr>
        <w:t xml:space="preserve">Proposal </w:t>
      </w:r>
      <w:r>
        <w:rPr>
          <w:rFonts w:hint="eastAsia" w:eastAsia="宋体"/>
          <w:b/>
          <w:lang w:val="en-US" w:eastAsia="zh-CN"/>
        </w:rPr>
        <w:t>17</w:t>
      </w:r>
      <w:r>
        <w:rPr>
          <w:rFonts w:eastAsia="宋体"/>
          <w:b/>
          <w:lang w:eastAsia="zh-CN"/>
        </w:rPr>
        <w:t xml:space="preserve">: </w:t>
      </w:r>
      <w:r>
        <w:rPr>
          <w:rFonts w:hint="eastAsia" w:eastAsia="宋体"/>
          <w:bCs/>
          <w:i/>
          <w:iCs/>
          <w:lang w:val="en-US" w:eastAsia="zh-CN"/>
        </w:rPr>
        <w:t xml:space="preserve">There is nothing that needs to be specially defined for </w:t>
      </w:r>
      <w:r>
        <w:rPr>
          <w:rFonts w:hint="eastAsia" w:eastAsia="宋体"/>
          <w:i/>
          <w:iCs/>
          <w:sz w:val="20"/>
          <w:szCs w:val="20"/>
          <w:lang w:val="en-US" w:eastAsia="zh-CN"/>
        </w:rPr>
        <w:t>behavior when P/SP-CSI-RS fail to transmit due to LBT.</w:t>
      </w:r>
    </w:p>
    <w:p>
      <w:pPr>
        <w:pStyle w:val="3"/>
        <w:spacing w:after="180" w:line="260" w:lineRule="auto"/>
        <w:jc w:val="both"/>
        <w:rPr>
          <w:rFonts w:eastAsia="宋体" w:cs="Arial"/>
          <w:b/>
          <w:sz w:val="24"/>
          <w:szCs w:val="24"/>
          <w:lang w:val="en-US" w:eastAsia="zh-CN"/>
        </w:rPr>
      </w:pPr>
      <w:r>
        <w:rPr>
          <w:rFonts w:hint="eastAsia" w:eastAsia="宋体" w:cs="Arial"/>
          <w:b/>
          <w:sz w:val="24"/>
          <w:szCs w:val="24"/>
          <w:lang w:val="en-US" w:eastAsia="zh-CN"/>
        </w:rPr>
        <w:t xml:space="preserve"> DMRS sequence generation</w:t>
      </w:r>
    </w:p>
    <w:p>
      <w:pPr>
        <w:widowControl w:val="0"/>
        <w:tabs>
          <w:tab w:val="right" w:pos="9216"/>
        </w:tabs>
        <w:spacing w:after="0"/>
        <w:jc w:val="both"/>
      </w:pPr>
      <w:r>
        <w:rPr>
          <w:rFonts w:hint="eastAsia" w:eastAsia="宋体"/>
          <w:lang w:val="en-US" w:eastAsia="zh-CN"/>
        </w:rPr>
        <w:t xml:space="preserve">The sequence generation of PDSCH/PDCCH DMRS in Rel-15 NR depends on the absolute slot/symbol index. </w:t>
      </w:r>
      <w:r>
        <w:t xml:space="preserve">The pseudo-random sequence generator </w:t>
      </w:r>
      <w:r>
        <w:rPr>
          <w:rFonts w:hint="eastAsia" w:eastAsia="宋体"/>
          <w:lang w:val="en-US" w:eastAsia="zh-CN"/>
        </w:rPr>
        <w:t xml:space="preserve">for PDSCH/PDCCH DMRS </w:t>
      </w:r>
      <w:r>
        <w:t>shall be initialized with</w:t>
      </w:r>
    </w:p>
    <w:p>
      <w:pPr>
        <w:pStyle w:val="83"/>
        <w:jc w:val="center"/>
        <w:rPr>
          <w:lang w:val="en-US"/>
        </w:rPr>
      </w:pPr>
      <w:r>
        <w:rPr>
          <w:lang w:val="en-US"/>
        </w:rPr>
        <w:drawing>
          <wp:anchor distT="0" distB="0" distL="0" distR="0" simplePos="0" relativeHeight="251658240" behindDoc="1" locked="0" layoutInCell="1" allowOverlap="1">
            <wp:simplePos x="0" y="0"/>
            <wp:positionH relativeFrom="column">
              <wp:posOffset>701675</wp:posOffset>
            </wp:positionH>
            <wp:positionV relativeFrom="paragraph">
              <wp:posOffset>-25400</wp:posOffset>
            </wp:positionV>
            <wp:extent cx="3291840" cy="274320"/>
            <wp:effectExtent l="0" t="0" r="0" b="12700"/>
            <wp:wrapTight wrapText="bothSides">
              <wp:wrapPolygon>
                <wp:start x="2000" y="3100"/>
                <wp:lineTo x="0" y="7750"/>
                <wp:lineTo x="0" y="15500"/>
                <wp:lineTo x="2000" y="20150"/>
                <wp:lineTo x="18875" y="20150"/>
                <wp:lineTo x="21375" y="12400"/>
                <wp:lineTo x="21375" y="3100"/>
                <wp:lineTo x="18875" y="3100"/>
                <wp:lineTo x="2000" y="310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91840" cy="274320"/>
                    </a:xfrm>
                    <a:prstGeom prst="rect">
                      <a:avLst/>
                    </a:prstGeom>
                    <a:noFill/>
                    <a:ln>
                      <a:noFill/>
                    </a:ln>
                  </pic:spPr>
                </pic:pic>
              </a:graphicData>
            </a:graphic>
          </wp:anchor>
        </w:drawing>
      </w:r>
      <w:r>
        <w:rPr>
          <w:lang w:val="en-US"/>
        </w:rPr>
        <w:t xml:space="preserve"> </w:t>
      </w:r>
      <w:r>
        <w:rPr>
          <w:rFonts w:hint="eastAsia"/>
          <w:lang w:val="en-US"/>
        </w:rPr>
        <w:t xml:space="preserve">                                                                                                                  (for PDSCH DMRS)</w:t>
      </w:r>
    </w:p>
    <w:p>
      <w:pPr>
        <w:pStyle w:val="83"/>
        <w:wordWrap w:val="0"/>
        <w:jc w:val="right"/>
        <w:rPr>
          <w:lang w:val="en-US"/>
        </w:rPr>
      </w:pPr>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w:rPr>
                    <w:rFonts w:ascii="Cambria Math" w:hAnsi="Cambria Math"/>
                  </w:rPr>
                  <m:t>2N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w:r>
        <w:rPr>
          <w:rFonts w:hint="eastAsia" w:ascii="Cambria Math" w:hAnsi="Cambria Math"/>
          <w:lang w:val="en-US"/>
        </w:rPr>
        <w:t xml:space="preserve">                   </w:t>
      </w:r>
      <w:r>
        <w:rPr>
          <w:lang w:val="en-US"/>
        </w:rPr>
        <w:t xml:space="preserve">(for PDCCH DMRS)   </w:t>
      </w:r>
      <w:r>
        <w:rPr>
          <w:rFonts w:hint="eastAsia" w:ascii="Cambria Math" w:hAnsi="Cambria Math"/>
          <w:lang w:val="en-US"/>
        </w:rPr>
        <w:t xml:space="preserve">              </w:t>
      </w:r>
    </w:p>
    <w:p>
      <w:pPr>
        <w:rPr>
          <w:rFonts w:eastAsia="宋体"/>
          <w:lang w:val="en-US" w:eastAsia="zh-CN"/>
        </w:rPr>
      </w:pPr>
      <w:r>
        <w:t xml:space="preserve">where </w:t>
      </w:r>
      <w:r>
        <w:rPr>
          <w:position w:val="-6"/>
        </w:rPr>
        <w:object>
          <v:shape id="_x0000_i1040" o:spt="75" type="#_x0000_t75" style="height:13pt;width:6.5pt;" o:ole="t" filled="f" o:preferrelative="t" stroked="f" coordsize="21600,21600">
            <v:path/>
            <v:fill on="f" focussize="0,0"/>
            <v:stroke on="f" joinstyle="miter"/>
            <v:imagedata r:id="rId29" o:title=""/>
            <o:lock v:ext="edit" aspectratio="t"/>
            <w10:wrap type="none"/>
            <w10:anchorlock/>
          </v:shape>
          <o:OLEObject Type="Embed" ProgID="Equation.3" ShapeID="_x0000_i1040" DrawAspect="Content" ObjectID="_1468075736" r:id="rId28">
            <o:LockedField>false</o:LockedField>
          </o:OLEObject>
        </w:object>
      </w:r>
      <w:r>
        <w:t xml:space="preserve"> is the OFDM symbol number within the slot,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w:rPr>
                <w:rFonts w:ascii="Cambria Math" w:hAnsi="Cambria Math"/>
              </w:rPr>
              <m:t>μ</m:t>
            </m:r>
            <m:ctrlPr>
              <w:rPr>
                <w:rFonts w:ascii="Cambria Math" w:hAnsi="Cambria Math"/>
                <w:i/>
              </w:rPr>
            </m:ctrlPr>
          </m:sup>
        </m:sSubSup>
      </m:oMath>
      <w:r>
        <w:t xml:space="preserve"> is the slot number within a frame</w:t>
      </w:r>
      <w:r>
        <w:rPr>
          <w:rFonts w:hint="eastAsia" w:eastAsia="宋体"/>
          <w:lang w:val="en-US" w:eastAsia="zh-CN"/>
        </w:rPr>
        <w:t>.</w:t>
      </w:r>
    </w:p>
    <w:p>
      <w:pPr>
        <w:widowControl/>
        <w:spacing w:after="180"/>
        <w:jc w:val="both"/>
        <w:rPr>
          <w:rFonts w:hint="eastAsia" w:eastAsia="宋体"/>
          <w:lang w:val="en-US" w:eastAsia="zh-CN"/>
        </w:rPr>
      </w:pPr>
      <w:r>
        <w:rPr>
          <w:rFonts w:hint="eastAsia" w:eastAsia="宋体"/>
          <w:lang w:val="en-US" w:eastAsia="zh-CN"/>
        </w:rPr>
        <w:t xml:space="preserve">In NR-U, the gNB needs to perform LBT first before PDSCH/PDCCH transmission. If LBT succeeds, the gNB can start PDCCH/PDSCH transmission. But if LBT fails, the gNB should continue performing LBT for the subsequent slot/mini-slot transmissions and regenerate absolute slot/symbol index dependent PDSCH/PDCCH DMRS sequence in advance, or regenerate it in a short time after LBT is successful. Some companies believed that the implementation complexity can increase if the existing DMRS generation mechanism is reused for NR-U and a potential solution is that the slot/symbol number for generating DMRS in the first slot of the COT can be set to 0, and the slot number in the remaining slots of the COT are relative to the first slot. However, in our view, the increased complexity would be very minor, and the existing implementation of the gNB can support the generation of one or more absolute slot/symbol-index dependent PDSCH/PDCCH DMRS sequences in advance. Moreover, there may be some problems if the solution mentioned above is adopted. If a UE misses detection of wideband DMRS as the initial signal at the start of DL burst, it would miss the entire gNB initiated COT. To solve that, wideband DMRS may be supported and has to be transmitted multiple times in a COT. Further, if above DMRS sequence generation option is applied, the first DMRS for indicating DL burst uses slot index 0 to generate its sequence, and the following DMRSs will use the relative slot/symbol index. If UE loses the first DMRS, it will  </w:t>
      </w:r>
      <w:r>
        <w:rPr>
          <w:rFonts w:eastAsia="宋体"/>
          <w:lang w:val="en-US" w:eastAsia="zh-CN"/>
        </w:rPr>
        <w:t xml:space="preserve">leads to a chain effect, e.g., </w:t>
      </w:r>
      <w:r>
        <w:rPr>
          <w:rFonts w:hint="eastAsia" w:eastAsia="宋体"/>
          <w:lang w:val="en-US" w:eastAsia="zh-CN"/>
        </w:rPr>
        <w:t>los</w:t>
      </w:r>
      <w:r>
        <w:rPr>
          <w:rFonts w:eastAsia="宋体"/>
          <w:lang w:val="en-US" w:eastAsia="zh-CN"/>
        </w:rPr>
        <w:t>ing</w:t>
      </w:r>
      <w:r>
        <w:rPr>
          <w:rFonts w:hint="eastAsia" w:eastAsia="宋体"/>
          <w:lang w:val="en-US" w:eastAsia="zh-CN"/>
        </w:rPr>
        <w:t xml:space="preserve"> all the following DMRSs and other remaining transmissions from the gNB. Based on this, even if sending DMRS multiple times in a COT is supported , it cannot also improve robustness of DL burst detection.</w:t>
      </w:r>
      <w:r>
        <w:rPr>
          <w:rFonts w:hint="eastAsia" w:eastAsia="宋体"/>
          <w:sz w:val="20"/>
          <w:szCs w:val="20"/>
          <w:lang w:val="en-US" w:eastAsia="zh-CN"/>
        </w:rPr>
        <w:t xml:space="preserve"> </w:t>
      </w:r>
      <w:r>
        <w:rPr>
          <w:rFonts w:hint="eastAsia" w:eastAsia="宋体"/>
          <w:lang w:val="en-US" w:eastAsia="zh-CN"/>
        </w:rPr>
        <w:t>Therefore, no change to DMRS sequence generation is needed.</w:t>
      </w:r>
    </w:p>
    <w:p>
      <w:pPr>
        <w:jc w:val="both"/>
        <w:rPr>
          <w:lang w:val="en-US" w:eastAsia="zh-CN"/>
        </w:rPr>
      </w:pPr>
      <w:r>
        <w:rPr>
          <w:rFonts w:eastAsia="宋体"/>
          <w:b/>
          <w:lang w:eastAsia="zh-CN"/>
        </w:rPr>
        <w:t xml:space="preserve">Proposal </w:t>
      </w:r>
      <w:r>
        <w:rPr>
          <w:rFonts w:hint="eastAsia" w:eastAsia="宋体"/>
          <w:b/>
          <w:lang w:val="en-US" w:eastAsia="zh-CN"/>
        </w:rPr>
        <w:t>18</w:t>
      </w:r>
      <w:r>
        <w:rPr>
          <w:rFonts w:eastAsia="宋体"/>
          <w:b/>
          <w:lang w:eastAsia="zh-CN"/>
        </w:rPr>
        <w:t xml:space="preserve">: </w:t>
      </w:r>
      <w:r>
        <w:rPr>
          <w:rFonts w:hint="eastAsia" w:eastAsia="宋体"/>
          <w:bCs/>
          <w:i/>
          <w:iCs/>
          <w:lang w:val="en-US" w:eastAsia="zh-CN"/>
        </w:rPr>
        <w:t>No change to DMRS sequence generation is needed.</w:t>
      </w:r>
    </w:p>
    <w:bookmarkEnd w:id="1"/>
    <w:bookmarkEnd w:id="2"/>
    <w:bookmarkEnd w:id="3"/>
    <w:bookmarkEnd w:id="4"/>
    <w:p>
      <w:pPr>
        <w:pStyle w:val="2"/>
        <w:ind w:left="448" w:hanging="448"/>
        <w:jc w:val="both"/>
        <w:rPr>
          <w:rFonts w:eastAsia="宋体" w:cs="Arial"/>
          <w:b/>
          <w:sz w:val="28"/>
          <w:szCs w:val="28"/>
          <w:lang w:eastAsia="zh-CN"/>
        </w:rPr>
      </w:pPr>
      <w:bookmarkStart w:id="5" w:name="IDX-CHP-8-0993"/>
      <w:bookmarkEnd w:id="5"/>
      <w:bookmarkStart w:id="6" w:name="IDX-CHP-8-0995"/>
      <w:bookmarkEnd w:id="6"/>
      <w:bookmarkStart w:id="7" w:name="IDX-CHP-8-0992"/>
      <w:bookmarkEnd w:id="7"/>
      <w:bookmarkStart w:id="8" w:name="IDX-CHP-8-0994"/>
      <w:bookmarkEnd w:id="8"/>
      <w:bookmarkStart w:id="9" w:name="IDX-CHP-8-0996"/>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 xml:space="preserve">discuss some remaining issues </w:t>
      </w:r>
      <w:bookmarkStart w:id="10" w:name="_GoBack"/>
      <w:r>
        <w:rPr>
          <w:rFonts w:hint="eastAsia" w:eastAsia="宋体"/>
          <w:lang w:val="en-US" w:eastAsia="zh-CN"/>
        </w:rPr>
        <w:t>for NR-U</w:t>
      </w:r>
      <w:bookmarkEnd w:id="10"/>
      <w:r>
        <w:rPr>
          <w:rFonts w:hint="eastAsia" w:eastAsia="宋体"/>
          <w:lang w:val="en-US" w:eastAsia="zh-CN"/>
        </w:rPr>
        <w:t xml:space="preserve"> DL reference signal design and physical channel design</w:t>
      </w:r>
      <w:r>
        <w:rPr>
          <w:rFonts w:eastAsia="宋体"/>
          <w:lang w:val="en-US" w:eastAsia="zh-CN"/>
        </w:rPr>
        <w:t xml:space="preserve">, and have the following </w:t>
      </w:r>
      <w:r>
        <w:rPr>
          <w:rFonts w:hint="eastAsia" w:eastAsia="宋体"/>
          <w:lang w:val="en-US" w:eastAsia="zh-CN"/>
        </w:rPr>
        <w:t xml:space="preserve"> </w:t>
      </w:r>
      <w:r>
        <w:rPr>
          <w:rFonts w:eastAsia="宋体"/>
          <w:lang w:val="en-US" w:eastAsia="zh-CN"/>
        </w:rPr>
        <w:t>proposal</w:t>
      </w:r>
      <w:r>
        <w:rPr>
          <w:rFonts w:hint="eastAsia" w:eastAsia="宋体"/>
          <w:lang w:val="en-US" w:eastAsia="zh-CN"/>
        </w:rPr>
        <w:t>s</w:t>
      </w:r>
      <w:r>
        <w:rPr>
          <w:rFonts w:eastAsia="宋体"/>
          <w:lang w:val="en-US" w:eastAsia="zh-CN"/>
        </w:rPr>
        <w:t>:</w:t>
      </w:r>
    </w:p>
    <w:p>
      <w:pPr>
        <w:numPr>
          <w:ilvl w:val="255"/>
          <w:numId w:val="0"/>
        </w:numPr>
        <w:jc w:val="both"/>
        <w:rPr>
          <w:rFonts w:hint="eastAsia" w:eastAsia="宋体"/>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 xml:space="preserve">: </w:t>
      </w:r>
      <w:r>
        <w:rPr>
          <w:rFonts w:hint="eastAsia" w:eastAsia="宋体"/>
          <w:b w:val="0"/>
          <w:bCs/>
          <w:i/>
          <w:iCs/>
          <w:lang w:val="en-US" w:eastAsia="zh-CN"/>
        </w:rPr>
        <w:t>No need to support a duration of 14 symbols for PDSCH mappin</w:t>
      </w:r>
      <w:r>
        <w:rPr>
          <w:rFonts w:hint="eastAsia" w:eastAsia="宋体"/>
          <w:i/>
          <w:iCs/>
          <w:lang w:val="en-US" w:eastAsia="zh-CN"/>
        </w:rPr>
        <w:t>g type B in NR-U.</w:t>
      </w:r>
    </w:p>
    <w:p>
      <w:pPr>
        <w:numPr>
          <w:ilvl w:val="255"/>
          <w:numId w:val="0"/>
        </w:numPr>
        <w:jc w:val="both"/>
        <w:rPr>
          <w:rFonts w:hint="eastAsia" w:eastAsia="宋体"/>
          <w:lang w:val="en-US" w:eastAsia="zh-CN"/>
        </w:rPr>
      </w:pPr>
      <w:r>
        <w:rPr>
          <w:rFonts w:eastAsia="宋体"/>
          <w:b/>
          <w:lang w:eastAsia="zh-CN"/>
        </w:rPr>
        <w:t xml:space="preserve">Proposal </w:t>
      </w:r>
      <w:r>
        <w:rPr>
          <w:rFonts w:hint="eastAsia" w:eastAsia="宋体"/>
          <w:b/>
          <w:lang w:val="en-US" w:eastAsia="zh-CN"/>
        </w:rPr>
        <w:t>2</w:t>
      </w:r>
      <w:r>
        <w:rPr>
          <w:rFonts w:eastAsia="宋体"/>
          <w:b/>
          <w:lang w:eastAsia="zh-CN"/>
        </w:rPr>
        <w:t xml:space="preserve">: </w:t>
      </w:r>
      <w:r>
        <w:rPr>
          <w:rFonts w:hint="eastAsia" w:eastAsia="宋体"/>
          <w:i/>
          <w:iCs/>
          <w:lang w:val="en-US" w:eastAsia="zh-CN"/>
        </w:rPr>
        <w:t xml:space="preserve">For additional durations from 2 to 13 symbols (other than length 2/4/7 and 9/10) for PDSCH mapping type B in NR-U, </w:t>
      </w:r>
      <w:r>
        <w:rPr>
          <w:i/>
          <w:iCs/>
        </w:rPr>
        <w:t xml:space="preserve">DMRS </w:t>
      </w:r>
      <w:r>
        <w:rPr>
          <w:rFonts w:hint="eastAsia" w:eastAsia="宋体"/>
          <w:i/>
          <w:iCs/>
          <w:lang w:val="en-US" w:eastAsia="zh-CN"/>
        </w:rPr>
        <w:t>positions</w:t>
      </w:r>
      <w:r>
        <w:rPr>
          <w:i/>
          <w:iCs/>
        </w:rPr>
        <w:t xml:space="preserve"> </w:t>
      </w:r>
      <w:r>
        <w:rPr>
          <w:rFonts w:hint="eastAsia" w:eastAsia="宋体"/>
          <w:i/>
          <w:iCs/>
          <w:lang w:val="en-US" w:eastAsia="zh-CN"/>
        </w:rPr>
        <w:t>can reuse DMRS patterns of PUSCH mapping type B with the same durations in Rel-15.</w:t>
      </w:r>
    </w:p>
    <w:p>
      <w:pPr>
        <w:numPr>
          <w:ilvl w:val="255"/>
          <w:numId w:val="0"/>
        </w:numPr>
        <w:spacing w:after="120" w:line="260" w:lineRule="auto"/>
        <w:jc w:val="both"/>
        <w:rPr>
          <w:rFonts w:hint="default" w:eastAsia="Times New Roman"/>
          <w:b w:val="0"/>
          <w:bCs w:val="0"/>
          <w:i/>
          <w:iCs/>
          <w:sz w:val="20"/>
          <w:szCs w:val="20"/>
          <w:lang w:val="en-US" w:eastAsia="zh-CN"/>
        </w:rPr>
      </w:pPr>
      <w:r>
        <w:rPr>
          <w:rFonts w:eastAsia="宋体"/>
          <w:b/>
          <w:lang w:eastAsia="zh-CN"/>
        </w:rPr>
        <w:t xml:space="preserve">Proposal </w:t>
      </w:r>
      <w:r>
        <w:rPr>
          <w:rFonts w:hint="eastAsia" w:eastAsia="宋体"/>
          <w:b/>
          <w:lang w:val="en-US" w:eastAsia="zh-CN"/>
        </w:rPr>
        <w:t>3</w:t>
      </w:r>
      <w:r>
        <w:rPr>
          <w:rFonts w:eastAsia="宋体"/>
          <w:b/>
          <w:lang w:eastAsia="zh-CN"/>
        </w:rPr>
        <w:t xml:space="preserve">: </w:t>
      </w:r>
      <w:r>
        <w:rPr>
          <w:rFonts w:hint="eastAsia" w:eastAsia="宋体"/>
          <w:i/>
          <w:iCs/>
          <w:lang w:val="en-US" w:eastAsia="zh-CN"/>
        </w:rPr>
        <w:t>P</w:t>
      </w:r>
      <w:r>
        <w:rPr>
          <w:i/>
          <w:iCs/>
        </w:rPr>
        <w:t>rocessing times</w:t>
      </w:r>
      <w:r>
        <w:rPr>
          <w:rFonts w:hint="eastAsia"/>
          <w:i/>
          <w:iCs/>
          <w:lang w:val="en-US" w:eastAsia="zh-CN"/>
        </w:rPr>
        <w:t xml:space="preserve"> of PDSCH mapping type B with the additional durations</w:t>
      </w:r>
      <w:r>
        <w:rPr>
          <w:i/>
          <w:iCs/>
        </w:rPr>
        <w:t xml:space="preserve"> </w:t>
      </w:r>
      <w:r>
        <w:rPr>
          <w:rFonts w:hint="eastAsia" w:eastAsia="宋体"/>
          <w:i/>
          <w:iCs/>
          <w:lang w:val="en-US" w:eastAsia="zh-CN"/>
        </w:rPr>
        <w:t xml:space="preserve">can </w:t>
      </w:r>
      <w:r>
        <w:rPr>
          <w:i/>
          <w:iCs/>
        </w:rPr>
        <w:t xml:space="preserve">reuse the values </w:t>
      </w:r>
      <w:r>
        <w:rPr>
          <w:rFonts w:hint="eastAsia" w:eastAsia="宋体"/>
          <w:i/>
          <w:iCs/>
          <w:lang w:val="en-US" w:eastAsia="zh-CN"/>
        </w:rPr>
        <w:t>of</w:t>
      </w:r>
      <w:r>
        <w:rPr>
          <w:i/>
          <w:iCs/>
        </w:rPr>
        <w:t xml:space="preserve"> </w:t>
      </w:r>
      <w:r>
        <w:rPr>
          <w:b w:val="0"/>
          <w:bCs w:val="0"/>
          <w:i/>
          <w:iCs/>
        </w:rPr>
        <w:t>durations of 2/4/7</w:t>
      </w:r>
      <w:r>
        <w:rPr>
          <w:rFonts w:hint="default" w:eastAsia="Times New Roman"/>
          <w:b w:val="0"/>
          <w:bCs w:val="0"/>
          <w:i/>
          <w:iCs/>
          <w:sz w:val="20"/>
          <w:szCs w:val="20"/>
          <w:lang w:val="en-US" w:eastAsia="zh-CN"/>
        </w:rPr>
        <w:t xml:space="preserve"> symbols as specified in </w:t>
      </w:r>
      <w:r>
        <w:rPr>
          <w:rFonts w:hint="default" w:eastAsia="Times New Roman"/>
          <w:b w:val="0"/>
          <w:bCs w:val="0"/>
          <w:i/>
          <w:iCs/>
          <w:sz w:val="20"/>
          <w:szCs w:val="20"/>
          <w:highlight w:val="none"/>
          <w:lang w:val="en-US" w:eastAsia="zh-CN"/>
        </w:rPr>
        <w:t>chapter 5.3 in TS 38.214</w:t>
      </w:r>
      <w:r>
        <w:rPr>
          <w:rFonts w:hint="default" w:eastAsia="Times New Roman"/>
          <w:b w:val="0"/>
          <w:bCs w:val="0"/>
          <w:i/>
          <w:iCs/>
          <w:sz w:val="20"/>
          <w:szCs w:val="20"/>
          <w:lang w:val="en-US" w:eastAsia="zh-CN"/>
        </w:rPr>
        <w:t>.</w:t>
      </w:r>
    </w:p>
    <w:p>
      <w:pPr>
        <w:pStyle w:val="47"/>
        <w:spacing w:after="60" w:line="260" w:lineRule="auto"/>
        <w:jc w:val="both"/>
        <w:rPr>
          <w:b w:val="0"/>
          <w:bCs w:val="0"/>
          <w:i/>
          <w:sz w:val="20"/>
          <w:highlight w:val="none"/>
          <w:lang w:val="en-AU"/>
        </w:rPr>
      </w:pPr>
      <w:r>
        <w:rPr>
          <w:b w:val="0"/>
          <w:bCs w:val="0"/>
          <w:i/>
          <w:sz w:val="20"/>
          <w:lang w:val="en-AU"/>
        </w:rPr>
        <w:t>-</w:t>
      </w:r>
      <w:r>
        <w:rPr>
          <w:b w:val="0"/>
          <w:bCs w:val="0"/>
          <w:i/>
          <w:sz w:val="20"/>
          <w:lang w:val="en-AU"/>
        </w:rPr>
        <w:tab/>
      </w:r>
      <w:r>
        <w:rPr>
          <w:b w:val="0"/>
          <w:bCs w:val="0"/>
          <w:i/>
          <w:sz w:val="20"/>
          <w:lang w:val="en-AU"/>
        </w:rPr>
        <w:t>For UE processing capability 1, a</w:t>
      </w:r>
      <w:r>
        <w:rPr>
          <w:b w:val="0"/>
          <w:bCs w:val="0"/>
          <w:i/>
          <w:sz w:val="20"/>
          <w:highlight w:val="none"/>
          <w:lang w:val="en-AU"/>
        </w:rPr>
        <w:t xml:space="preserve">nd </w:t>
      </w:r>
    </w:p>
    <w:p>
      <w:pPr>
        <w:pStyle w:val="54"/>
        <w:tabs>
          <w:tab w:val="left" w:pos="2041"/>
        </w:tabs>
        <w:spacing w:after="60" w:line="260" w:lineRule="auto"/>
        <w:jc w:val="both"/>
        <w:rPr>
          <w:b w:val="0"/>
          <w:bCs w:val="0"/>
          <w:i/>
          <w:color w:val="auto"/>
          <w:sz w:val="20"/>
          <w:highlight w:val="none"/>
        </w:rPr>
      </w:pPr>
      <w:r>
        <w:rPr>
          <w:b w:val="0"/>
          <w:bCs w:val="0"/>
          <w:i/>
          <w:sz w:val="20"/>
          <w:highlight w:val="none"/>
        </w:rPr>
        <w:t>-</w:t>
      </w:r>
      <w:r>
        <w:rPr>
          <w:b w:val="0"/>
          <w:bCs w:val="0"/>
          <w:i/>
          <w:sz w:val="20"/>
          <w:highlight w:val="none"/>
        </w:rPr>
        <w:tab/>
      </w:r>
      <w:r>
        <w:rPr>
          <w:b w:val="0"/>
          <w:bCs w:val="0"/>
          <w:i/>
          <w:sz w:val="20"/>
          <w:highlight w:val="none"/>
        </w:rPr>
        <w:t xml:space="preserve">if the number of PDSCH symbols allocated </w:t>
      </w:r>
      <w:r>
        <w:rPr>
          <w:rFonts w:hint="eastAsia"/>
          <w:b w:val="0"/>
          <w:bCs w:val="0"/>
          <w:i/>
          <w:sz w:val="20"/>
          <w:highlight w:val="none"/>
          <w:lang w:val="en-US" w:eastAsia="zh-CN"/>
        </w:rPr>
        <w:t xml:space="preserve"> L =</w:t>
      </w:r>
      <w:r>
        <w:rPr>
          <w:b w:val="0"/>
          <w:bCs w:val="0"/>
          <w:i/>
          <w:sz w:val="20"/>
          <w:highlight w:val="none"/>
        </w:rPr>
        <w:t xml:space="preserve"> </w:t>
      </w:r>
      <w:r>
        <w:rPr>
          <w:b w:val="0"/>
          <w:bCs w:val="0"/>
          <w:i/>
          <w:color w:val="auto"/>
          <w:sz w:val="20"/>
          <w:highlight w:val="none"/>
        </w:rPr>
        <w:t>7</w:t>
      </w:r>
      <w:r>
        <w:rPr>
          <w:rFonts w:hint="eastAsia"/>
          <w:b w:val="0"/>
          <w:bCs w:val="0"/>
          <w:i/>
          <w:color w:val="auto"/>
          <w:sz w:val="20"/>
          <w:highlight w:val="none"/>
          <w:lang w:val="en-US" w:eastAsia="zh-CN"/>
        </w:rPr>
        <w:t xml:space="preserve"> or more</w:t>
      </w:r>
      <w:r>
        <w:rPr>
          <w:b w:val="0"/>
          <w:bCs w:val="0"/>
          <w:i/>
          <w:color w:val="auto"/>
          <w:sz w:val="20"/>
          <w:highlight w:val="none"/>
        </w:rPr>
        <w:t>, then d</w:t>
      </w:r>
      <w:r>
        <w:rPr>
          <w:b w:val="0"/>
          <w:bCs w:val="0"/>
          <w:i/>
          <w:color w:val="auto"/>
          <w:sz w:val="20"/>
          <w:highlight w:val="none"/>
          <w:vertAlign w:val="subscript"/>
        </w:rPr>
        <w:t>1,1</w:t>
      </w:r>
      <w:r>
        <w:rPr>
          <w:b w:val="0"/>
          <w:bCs w:val="0"/>
          <w:i/>
          <w:color w:val="auto"/>
          <w:sz w:val="20"/>
          <w:highlight w:val="none"/>
        </w:rPr>
        <w:t xml:space="preserve"> = 0,</w:t>
      </w:r>
    </w:p>
    <w:p>
      <w:pPr>
        <w:pStyle w:val="54"/>
        <w:tabs>
          <w:tab w:val="left" w:pos="2041"/>
        </w:tabs>
        <w:spacing w:after="60" w:line="260" w:lineRule="auto"/>
        <w:jc w:val="both"/>
        <w:rPr>
          <w:rFonts w:hint="eastAsia" w:eastAsia="宋体"/>
          <w:b w:val="0"/>
          <w:bCs w:val="0"/>
          <w:i/>
          <w:color w:val="auto"/>
          <w:sz w:val="20"/>
          <w:highlight w:val="none"/>
          <w:lang w:val="en-US" w:eastAsia="zh-CN"/>
        </w:rPr>
      </w:pPr>
      <w:r>
        <w:rPr>
          <w:b w:val="0"/>
          <w:bCs w:val="0"/>
          <w:i/>
          <w:color w:val="auto"/>
          <w:sz w:val="20"/>
          <w:highlight w:val="none"/>
        </w:rPr>
        <w:t>-</w:t>
      </w:r>
      <w:r>
        <w:rPr>
          <w:b w:val="0"/>
          <w:bCs w:val="0"/>
          <w:i/>
          <w:color w:val="auto"/>
          <w:sz w:val="20"/>
          <w:highlight w:val="none"/>
        </w:rPr>
        <w:tab/>
      </w:r>
      <w:r>
        <w:rPr>
          <w:b w:val="0"/>
          <w:bCs w:val="0"/>
          <w:i/>
          <w:color w:val="auto"/>
          <w:sz w:val="20"/>
          <w:highlight w:val="none"/>
        </w:rPr>
        <w:t xml:space="preserve">if the number of PDSCH symbols allocated </w:t>
      </w:r>
      <w:r>
        <w:rPr>
          <w:rFonts w:hint="eastAsia"/>
          <w:b w:val="0"/>
          <w:bCs w:val="0"/>
          <w:i/>
          <w:color w:val="auto"/>
          <w:sz w:val="20"/>
          <w:highlight w:val="none"/>
          <w:lang w:val="en-US" w:eastAsia="zh-CN"/>
        </w:rPr>
        <w:t xml:space="preserve">L = 4, </w:t>
      </w:r>
      <w:r>
        <w:rPr>
          <w:b w:val="0"/>
          <w:bCs w:val="0"/>
          <w:i/>
          <w:color w:val="auto"/>
          <w:sz w:val="20"/>
          <w:highlight w:val="none"/>
        </w:rPr>
        <w:t>5, or 6</w:t>
      </w:r>
      <w:r>
        <w:rPr>
          <w:b w:val="0"/>
          <w:bCs w:val="0"/>
          <w:i/>
          <w:color w:val="auto"/>
          <w:sz w:val="20"/>
          <w:highlight w:val="none"/>
        </w:rPr>
        <w:t>,  then d</w:t>
      </w:r>
      <w:r>
        <w:rPr>
          <w:b w:val="0"/>
          <w:bCs w:val="0"/>
          <w:i/>
          <w:color w:val="auto"/>
          <w:sz w:val="20"/>
          <w:highlight w:val="none"/>
          <w:vertAlign w:val="subscript"/>
        </w:rPr>
        <w:t>1,1</w:t>
      </w:r>
      <w:r>
        <w:rPr>
          <w:b w:val="0"/>
          <w:bCs w:val="0"/>
          <w:i/>
          <w:color w:val="auto"/>
          <w:sz w:val="20"/>
          <w:highlight w:val="none"/>
        </w:rPr>
        <w:t xml:space="preserve"> = 3</w:t>
      </w:r>
      <w:r>
        <w:rPr>
          <w:rFonts w:hint="eastAsia"/>
          <w:b w:val="0"/>
          <w:bCs w:val="0"/>
          <w:i/>
          <w:color w:val="auto"/>
          <w:sz w:val="20"/>
          <w:highlight w:val="none"/>
          <w:lang w:val="en-US" w:eastAsia="zh-CN"/>
        </w:rPr>
        <w:t>,</w:t>
      </w:r>
    </w:p>
    <w:p>
      <w:pPr>
        <w:pStyle w:val="54"/>
        <w:tabs>
          <w:tab w:val="left" w:pos="2041"/>
        </w:tabs>
        <w:spacing w:after="120" w:line="260" w:lineRule="auto"/>
        <w:ind w:left="850" w:hanging="283"/>
        <w:jc w:val="both"/>
        <w:rPr>
          <w:b w:val="0"/>
          <w:bCs w:val="0"/>
          <w:i/>
          <w:color w:val="auto"/>
          <w:sz w:val="20"/>
          <w:highlight w:val="none"/>
        </w:rPr>
      </w:pPr>
      <w:r>
        <w:rPr>
          <w:b w:val="0"/>
          <w:bCs w:val="0"/>
          <w:i/>
          <w:color w:val="auto"/>
          <w:sz w:val="20"/>
          <w:highlight w:val="none"/>
          <w:lang w:val="en-AU"/>
        </w:rPr>
        <w:t>-</w:t>
      </w:r>
      <w:r>
        <w:rPr>
          <w:b w:val="0"/>
          <w:bCs w:val="0"/>
          <w:i/>
          <w:color w:val="auto"/>
          <w:sz w:val="20"/>
          <w:highlight w:val="none"/>
          <w:lang w:val="en-AU"/>
        </w:rPr>
        <w:tab/>
      </w:r>
      <w:r>
        <w:rPr>
          <w:b w:val="0"/>
          <w:bCs w:val="0"/>
          <w:i/>
          <w:color w:val="auto"/>
          <w:sz w:val="20"/>
          <w:highlight w:val="none"/>
          <w:lang w:val="en-AU"/>
        </w:rPr>
        <w:t xml:space="preserve">if the number of PDSCH symbols allocated </w:t>
      </w:r>
      <w:r>
        <w:rPr>
          <w:rFonts w:hint="eastAsia"/>
          <w:b w:val="0"/>
          <w:bCs w:val="0"/>
          <w:i/>
          <w:color w:val="auto"/>
          <w:sz w:val="20"/>
          <w:highlight w:val="none"/>
          <w:lang w:val="en-US" w:eastAsia="zh-CN"/>
        </w:rPr>
        <w:t xml:space="preserve"> L = 2 or </w:t>
      </w:r>
      <w:r>
        <w:rPr>
          <w:b w:val="0"/>
          <w:bCs w:val="0"/>
          <w:i/>
          <w:color w:val="auto"/>
          <w:sz w:val="20"/>
          <w:highlight w:val="none"/>
          <w:lang w:val="en-AU"/>
        </w:rPr>
        <w:t>3</w:t>
      </w:r>
      <w:r>
        <w:rPr>
          <w:b w:val="0"/>
          <w:bCs w:val="0"/>
          <w:i/>
          <w:color w:val="auto"/>
          <w:sz w:val="20"/>
          <w:highlight w:val="none"/>
          <w:lang w:val="en-AU"/>
        </w:rPr>
        <w:t xml:space="preserve">, then </w:t>
      </w:r>
      <w:r>
        <w:rPr>
          <w:b w:val="0"/>
          <w:bCs w:val="0"/>
          <w:i/>
          <w:color w:val="auto"/>
          <w:sz w:val="20"/>
          <w:highlight w:val="none"/>
        </w:rPr>
        <w:t>d</w:t>
      </w:r>
      <w:r>
        <w:rPr>
          <w:b w:val="0"/>
          <w:bCs w:val="0"/>
          <w:i/>
          <w:color w:val="auto"/>
          <w:sz w:val="20"/>
          <w:highlight w:val="none"/>
          <w:vertAlign w:val="subscript"/>
        </w:rPr>
        <w:t>1,1</w:t>
      </w:r>
      <w:r>
        <w:rPr>
          <w:b w:val="0"/>
          <w:bCs w:val="0"/>
          <w:i/>
          <w:color w:val="auto"/>
          <w:sz w:val="20"/>
          <w:highlight w:val="none"/>
        </w:rPr>
        <w:t xml:space="preserve"> = 3+d, where d is</w:t>
      </w:r>
      <w:r>
        <w:rPr>
          <w:b w:val="0"/>
          <w:bCs w:val="0"/>
          <w:i/>
          <w:color w:val="auto"/>
          <w:sz w:val="20"/>
          <w:highlight w:val="none"/>
          <w:lang w:val="en-AU"/>
        </w:rPr>
        <w:t xml:space="preserve"> the number of overlapping symbols of the scheduling PDCCH and the scheduled PDSCH.</w:t>
      </w:r>
    </w:p>
    <w:p>
      <w:pPr>
        <w:pStyle w:val="47"/>
        <w:spacing w:after="60" w:line="260" w:lineRule="auto"/>
        <w:jc w:val="both"/>
        <w:rPr>
          <w:b w:val="0"/>
          <w:bCs w:val="0"/>
          <w:i/>
          <w:color w:val="auto"/>
          <w:sz w:val="20"/>
          <w:highlight w:val="none"/>
          <w:lang w:val="en-AU"/>
        </w:rPr>
      </w:pPr>
      <w:r>
        <w:rPr>
          <w:b w:val="0"/>
          <w:bCs w:val="0"/>
          <w:i/>
          <w:color w:val="auto"/>
          <w:sz w:val="20"/>
          <w:highlight w:val="none"/>
          <w:lang w:val="en-AU"/>
        </w:rPr>
        <w:t>-</w:t>
      </w:r>
      <w:r>
        <w:rPr>
          <w:b w:val="0"/>
          <w:bCs w:val="0"/>
          <w:i/>
          <w:color w:val="auto"/>
          <w:sz w:val="20"/>
          <w:highlight w:val="none"/>
          <w:lang w:val="en-AU"/>
        </w:rPr>
        <w:tab/>
      </w:r>
      <w:r>
        <w:rPr>
          <w:b w:val="0"/>
          <w:bCs w:val="0"/>
          <w:i/>
          <w:color w:val="auto"/>
          <w:sz w:val="20"/>
          <w:highlight w:val="none"/>
          <w:lang w:val="en-AU"/>
        </w:rPr>
        <w:t xml:space="preserve">For UE processing capability 2, and </w:t>
      </w:r>
    </w:p>
    <w:p>
      <w:pPr>
        <w:pStyle w:val="54"/>
        <w:tabs>
          <w:tab w:val="left" w:pos="2041"/>
        </w:tabs>
        <w:spacing w:after="60" w:line="260" w:lineRule="auto"/>
        <w:jc w:val="both"/>
        <w:rPr>
          <w:b w:val="0"/>
          <w:bCs w:val="0"/>
          <w:i/>
          <w:color w:val="auto"/>
          <w:sz w:val="20"/>
          <w:highlight w:val="none"/>
        </w:rPr>
      </w:pPr>
      <w:r>
        <w:rPr>
          <w:b w:val="0"/>
          <w:bCs w:val="0"/>
          <w:i/>
          <w:color w:val="auto"/>
          <w:sz w:val="20"/>
          <w:highlight w:val="none"/>
        </w:rPr>
        <w:t>-</w:t>
      </w:r>
      <w:r>
        <w:rPr>
          <w:b w:val="0"/>
          <w:bCs w:val="0"/>
          <w:i/>
          <w:color w:val="auto"/>
          <w:sz w:val="20"/>
          <w:highlight w:val="none"/>
        </w:rPr>
        <w:tab/>
      </w:r>
      <w:r>
        <w:rPr>
          <w:b w:val="0"/>
          <w:bCs w:val="0"/>
          <w:i/>
          <w:color w:val="auto"/>
          <w:sz w:val="20"/>
          <w:highlight w:val="none"/>
        </w:rPr>
        <w:t xml:space="preserve">if the number of PDSCH symbols allocated is </w:t>
      </w:r>
      <w:r>
        <w:rPr>
          <w:rFonts w:hint="eastAsia"/>
          <w:b w:val="0"/>
          <w:bCs w:val="0"/>
          <w:i/>
          <w:color w:val="auto"/>
          <w:sz w:val="20"/>
          <w:highlight w:val="none"/>
          <w:lang w:val="en-US" w:eastAsia="zh-CN"/>
        </w:rPr>
        <w:t>L =</w:t>
      </w:r>
      <w:r>
        <w:rPr>
          <w:b w:val="0"/>
          <w:bCs w:val="0"/>
          <w:i/>
          <w:color w:val="auto"/>
          <w:sz w:val="20"/>
          <w:highlight w:val="none"/>
        </w:rPr>
        <w:t xml:space="preserve"> 7</w:t>
      </w:r>
      <w:r>
        <w:rPr>
          <w:rFonts w:hint="eastAsia"/>
          <w:b w:val="0"/>
          <w:bCs w:val="0"/>
          <w:i/>
          <w:color w:val="auto"/>
          <w:sz w:val="20"/>
          <w:highlight w:val="none"/>
          <w:lang w:val="en-US" w:eastAsia="zh-CN"/>
        </w:rPr>
        <w:t xml:space="preserve"> or more</w:t>
      </w:r>
      <w:r>
        <w:rPr>
          <w:b w:val="0"/>
          <w:bCs w:val="0"/>
          <w:i/>
          <w:color w:val="auto"/>
          <w:sz w:val="20"/>
          <w:highlight w:val="none"/>
        </w:rPr>
        <w:t>, then d</w:t>
      </w:r>
      <w:r>
        <w:rPr>
          <w:b w:val="0"/>
          <w:bCs w:val="0"/>
          <w:i/>
          <w:color w:val="auto"/>
          <w:sz w:val="20"/>
          <w:highlight w:val="none"/>
          <w:vertAlign w:val="subscript"/>
        </w:rPr>
        <w:t>1,1</w:t>
      </w:r>
      <w:r>
        <w:rPr>
          <w:b w:val="0"/>
          <w:bCs w:val="0"/>
          <w:i/>
          <w:color w:val="auto"/>
          <w:sz w:val="20"/>
          <w:highlight w:val="none"/>
        </w:rPr>
        <w:t xml:space="preserve"> = 0,</w:t>
      </w:r>
    </w:p>
    <w:p>
      <w:pPr>
        <w:pStyle w:val="54"/>
        <w:tabs>
          <w:tab w:val="left" w:pos="2041"/>
        </w:tabs>
        <w:spacing w:after="60" w:line="260" w:lineRule="auto"/>
        <w:jc w:val="both"/>
        <w:rPr>
          <w:rFonts w:hint="eastAsia" w:eastAsia="宋体"/>
          <w:b w:val="0"/>
          <w:bCs w:val="0"/>
          <w:i/>
          <w:sz w:val="20"/>
          <w:highlight w:val="none"/>
          <w:lang w:val="en-US" w:eastAsia="zh-CN"/>
        </w:rPr>
      </w:pPr>
      <w:r>
        <w:rPr>
          <w:b w:val="0"/>
          <w:bCs w:val="0"/>
          <w:i/>
          <w:color w:val="auto"/>
          <w:sz w:val="20"/>
          <w:highlight w:val="none"/>
        </w:rPr>
        <w:t>-</w:t>
      </w:r>
      <w:r>
        <w:rPr>
          <w:b w:val="0"/>
          <w:bCs w:val="0"/>
          <w:i/>
          <w:color w:val="auto"/>
          <w:sz w:val="20"/>
          <w:highlight w:val="none"/>
        </w:rPr>
        <w:tab/>
      </w:r>
      <w:r>
        <w:rPr>
          <w:b w:val="0"/>
          <w:bCs w:val="0"/>
          <w:i/>
          <w:color w:val="auto"/>
          <w:sz w:val="20"/>
          <w:highlight w:val="none"/>
        </w:rPr>
        <w:t xml:space="preserve">if the number of PDSCH symbols allocated is </w:t>
      </w:r>
      <w:r>
        <w:rPr>
          <w:rFonts w:hint="eastAsia"/>
          <w:b w:val="0"/>
          <w:bCs w:val="0"/>
          <w:i/>
          <w:color w:val="auto"/>
          <w:sz w:val="20"/>
          <w:highlight w:val="none"/>
          <w:lang w:val="en-US" w:eastAsia="zh-CN"/>
        </w:rPr>
        <w:t xml:space="preserve">L = </w:t>
      </w:r>
      <w:r>
        <w:rPr>
          <w:b w:val="0"/>
          <w:bCs w:val="0"/>
          <w:i/>
          <w:color w:val="auto"/>
          <w:sz w:val="20"/>
          <w:highlight w:val="none"/>
        </w:rPr>
        <w:t xml:space="preserve">3, </w:t>
      </w:r>
      <w:r>
        <w:rPr>
          <w:rFonts w:hint="eastAsia"/>
          <w:b w:val="0"/>
          <w:bCs w:val="0"/>
          <w:i/>
          <w:color w:val="auto"/>
          <w:sz w:val="20"/>
          <w:highlight w:val="none"/>
          <w:lang w:val="en-US" w:eastAsia="zh-CN"/>
        </w:rPr>
        <w:t xml:space="preserve">4, </w:t>
      </w:r>
      <w:r>
        <w:rPr>
          <w:b w:val="0"/>
          <w:bCs w:val="0"/>
          <w:i/>
          <w:color w:val="auto"/>
          <w:sz w:val="20"/>
          <w:highlight w:val="none"/>
        </w:rPr>
        <w:t>5, or 6</w:t>
      </w:r>
      <w:r>
        <w:rPr>
          <w:b w:val="0"/>
          <w:bCs w:val="0"/>
          <w:i/>
          <w:color w:val="auto"/>
          <w:sz w:val="20"/>
          <w:highlight w:val="none"/>
        </w:rPr>
        <w:t xml:space="preserve">, </w:t>
      </w:r>
      <w:r>
        <w:rPr>
          <w:b w:val="0"/>
          <w:bCs w:val="0"/>
          <w:i/>
          <w:sz w:val="20"/>
          <w:highlight w:val="none"/>
        </w:rPr>
        <w:t>then d</w:t>
      </w:r>
      <w:r>
        <w:rPr>
          <w:b w:val="0"/>
          <w:bCs w:val="0"/>
          <w:i/>
          <w:sz w:val="20"/>
          <w:highlight w:val="none"/>
          <w:vertAlign w:val="subscript"/>
        </w:rPr>
        <w:t>1,1</w:t>
      </w:r>
      <w:r>
        <w:rPr>
          <w:b w:val="0"/>
          <w:bCs w:val="0"/>
          <w:i/>
          <w:sz w:val="20"/>
          <w:highlight w:val="none"/>
        </w:rPr>
        <w:t xml:space="preserve"> is the number of overlapping symbols of the scheduling PDCCH and the scheduled PDSCH</w:t>
      </w:r>
      <w:r>
        <w:rPr>
          <w:rFonts w:hint="eastAsia"/>
          <w:b w:val="0"/>
          <w:bCs w:val="0"/>
          <w:i/>
          <w:sz w:val="20"/>
          <w:highlight w:val="none"/>
          <w:lang w:val="en-US" w:eastAsia="zh-CN"/>
        </w:rPr>
        <w:t>,</w:t>
      </w:r>
    </w:p>
    <w:p>
      <w:pPr>
        <w:pStyle w:val="54"/>
        <w:tabs>
          <w:tab w:val="left" w:pos="2041"/>
        </w:tabs>
        <w:spacing w:after="60" w:line="260" w:lineRule="auto"/>
        <w:jc w:val="both"/>
        <w:rPr>
          <w:b w:val="0"/>
          <w:bCs w:val="0"/>
          <w:i/>
          <w:sz w:val="20"/>
        </w:rPr>
      </w:pPr>
      <w:r>
        <w:rPr>
          <w:b w:val="0"/>
          <w:bCs w:val="0"/>
          <w:i/>
          <w:sz w:val="20"/>
        </w:rPr>
        <w:t>-</w:t>
      </w:r>
      <w:r>
        <w:rPr>
          <w:b w:val="0"/>
          <w:bCs w:val="0"/>
          <w:i/>
          <w:sz w:val="20"/>
        </w:rPr>
        <w:tab/>
      </w:r>
      <w:r>
        <w:rPr>
          <w:b w:val="0"/>
          <w:bCs w:val="0"/>
          <w:i/>
          <w:sz w:val="20"/>
        </w:rPr>
        <w:t xml:space="preserve">if the number of PDSCH symbols allocated is </w:t>
      </w:r>
      <w:r>
        <w:rPr>
          <w:rFonts w:hint="eastAsia"/>
          <w:b w:val="0"/>
          <w:bCs w:val="0"/>
          <w:i/>
          <w:sz w:val="20"/>
          <w:lang w:val="en-US" w:eastAsia="zh-CN"/>
        </w:rPr>
        <w:t>L = 2</w:t>
      </w:r>
      <w:r>
        <w:rPr>
          <w:b w:val="0"/>
          <w:bCs w:val="0"/>
          <w:i/>
          <w:sz w:val="20"/>
        </w:rPr>
        <w:t xml:space="preserve">, then </w:t>
      </w:r>
    </w:p>
    <w:p>
      <w:pPr>
        <w:pStyle w:val="78"/>
        <w:spacing w:after="60" w:line="260" w:lineRule="auto"/>
        <w:ind w:left="1283" w:leftChars="500" w:hanging="283"/>
        <w:jc w:val="both"/>
        <w:rPr>
          <w:i/>
          <w:iCs/>
        </w:rPr>
      </w:pPr>
      <w:r>
        <w:rPr>
          <w:i/>
          <w:iCs/>
        </w:rPr>
        <w:t>-</w:t>
      </w:r>
      <w:r>
        <w:rPr>
          <w:i/>
          <w:iCs/>
        </w:rPr>
        <w:tab/>
      </w:r>
      <w:r>
        <w:rPr>
          <w:i/>
          <w:iCs/>
        </w:rPr>
        <w:t>if the scheduling PDCCH was in a 3-symbol CORESET and the CORESET and the PDSCH had the same starting symbol, then  d</w:t>
      </w:r>
      <w:r>
        <w:rPr>
          <w:i/>
          <w:iCs/>
          <w:vertAlign w:val="subscript"/>
        </w:rPr>
        <w:t>1,1</w:t>
      </w:r>
      <w:r>
        <w:rPr>
          <w:i/>
          <w:iCs/>
        </w:rPr>
        <w:t xml:space="preserve"> = 3,</w:t>
      </w:r>
    </w:p>
    <w:p>
      <w:pPr>
        <w:pStyle w:val="78"/>
        <w:spacing w:line="260" w:lineRule="auto"/>
        <w:ind w:left="1283" w:leftChars="500" w:hanging="283"/>
        <w:jc w:val="both"/>
        <w:rPr>
          <w:i/>
          <w:iCs/>
          <w:lang w:val="en-AU"/>
        </w:rPr>
      </w:pPr>
      <w:r>
        <w:rPr>
          <w:i/>
          <w:iCs/>
        </w:rPr>
        <w:t>-</w:t>
      </w:r>
      <w:r>
        <w:rPr>
          <w:i/>
          <w:iCs/>
        </w:rPr>
        <w:tab/>
      </w:r>
      <w:r>
        <w:rPr>
          <w:i/>
          <w:iCs/>
        </w:rPr>
        <w:t>otherwise d</w:t>
      </w:r>
      <w:r>
        <w:rPr>
          <w:i/>
          <w:iCs/>
          <w:vertAlign w:val="subscript"/>
        </w:rPr>
        <w:t>1,1</w:t>
      </w:r>
      <w:r>
        <w:rPr>
          <w:i/>
          <w:iCs/>
        </w:rPr>
        <w:t xml:space="preserve"> is</w:t>
      </w:r>
      <w:r>
        <w:rPr>
          <w:i/>
          <w:iCs/>
          <w:lang w:val="en-AU"/>
        </w:rPr>
        <w:t xml:space="preserve"> the number of overlapping symbols of the scheduling PDCCH and the scheduled PDSCH.</w:t>
      </w:r>
    </w:p>
    <w:p>
      <w:pPr>
        <w:numPr>
          <w:ilvl w:val="255"/>
          <w:numId w:val="0"/>
        </w:numPr>
        <w:spacing w:after="180" w:line="260" w:lineRule="auto"/>
        <w:jc w:val="both"/>
        <w:rPr>
          <w:rFonts w:hint="default" w:eastAsia="Times New Roman"/>
          <w:b w:val="0"/>
          <w:bCs w:val="0"/>
          <w:i/>
          <w:iCs/>
          <w:sz w:val="20"/>
          <w:szCs w:val="20"/>
          <w:lang w:val="en-US" w:eastAsia="zh-CN"/>
        </w:rPr>
      </w:pPr>
      <w:r>
        <w:rPr>
          <w:rFonts w:eastAsia="宋体"/>
          <w:b/>
          <w:lang w:eastAsia="zh-CN"/>
        </w:rPr>
        <w:t xml:space="preserve">Proposal </w:t>
      </w:r>
      <w:r>
        <w:rPr>
          <w:rFonts w:hint="eastAsia" w:eastAsia="宋体"/>
          <w:b/>
          <w:lang w:val="en-US" w:eastAsia="zh-CN"/>
        </w:rPr>
        <w:t>4</w:t>
      </w:r>
      <w:r>
        <w:rPr>
          <w:rFonts w:eastAsia="宋体"/>
          <w:b/>
          <w:lang w:eastAsia="zh-CN"/>
        </w:rPr>
        <w:t xml:space="preserve">: </w:t>
      </w:r>
      <w:r>
        <w:rPr>
          <w:rFonts w:hint="eastAsia" w:eastAsia="Times New Roman"/>
          <w:b w:val="0"/>
          <w:bCs w:val="0"/>
          <w:i/>
          <w:iCs/>
          <w:sz w:val="20"/>
          <w:szCs w:val="20"/>
          <w:lang w:val="en-US" w:eastAsia="zh-CN"/>
        </w:rPr>
        <w:t>No need to support more than two groups of  search space sets for PDCCH.</w:t>
      </w:r>
    </w:p>
    <w:p>
      <w:pPr>
        <w:spacing w:after="180" w:line="260" w:lineRule="auto"/>
        <w:jc w:val="both"/>
        <w:rPr>
          <w:rFonts w:hint="eastAsia" w:eastAsia="宋体"/>
          <w:b/>
          <w:lang w:val="en-US" w:eastAsia="zh-CN"/>
        </w:rPr>
      </w:pPr>
      <w:r>
        <w:rPr>
          <w:rFonts w:eastAsia="宋体"/>
          <w:b/>
          <w:lang w:eastAsia="zh-CN"/>
        </w:rPr>
        <w:t xml:space="preserve">Proposal </w:t>
      </w:r>
      <w:r>
        <w:rPr>
          <w:rFonts w:hint="eastAsia" w:eastAsia="宋体"/>
          <w:b/>
          <w:lang w:val="en-US" w:eastAsia="zh-CN"/>
        </w:rPr>
        <w:t>5</w:t>
      </w:r>
      <w:r>
        <w:rPr>
          <w:rFonts w:eastAsia="宋体"/>
          <w:b/>
          <w:lang w:eastAsia="zh-CN"/>
        </w:rPr>
        <w:t>:</w:t>
      </w:r>
      <w:r>
        <w:rPr>
          <w:rFonts w:hint="eastAsia" w:eastAsia="宋体"/>
          <w:b/>
          <w:lang w:val="en-US" w:eastAsia="zh-CN"/>
        </w:rPr>
        <w:t xml:space="preserve"> </w:t>
      </w:r>
      <w:r>
        <w:rPr>
          <w:rFonts w:hint="eastAsia" w:eastAsia="宋体"/>
          <w:b w:val="0"/>
          <w:bCs/>
          <w:i/>
          <w:iCs/>
          <w:lang w:val="en-US" w:eastAsia="zh-CN"/>
        </w:rPr>
        <w:t>Alt 1 is preferred, namely, the UE can be configured to switch between two groups of search space sets based on a implicit way.</w:t>
      </w:r>
    </w:p>
    <w:p>
      <w:pPr>
        <w:numPr>
          <w:ilvl w:val="255"/>
          <w:numId w:val="0"/>
        </w:numPr>
        <w:jc w:val="both"/>
        <w:rPr>
          <w:rFonts w:hint="eastAsia" w:eastAsia="宋体"/>
          <w:i/>
          <w:iCs/>
          <w:lang w:val="en-US" w:eastAsia="zh-CN"/>
        </w:rPr>
      </w:pPr>
      <w:r>
        <w:rPr>
          <w:rFonts w:eastAsia="宋体"/>
          <w:b/>
          <w:lang w:eastAsia="zh-CN"/>
        </w:rPr>
        <w:t xml:space="preserve">Proposal </w:t>
      </w:r>
      <w:r>
        <w:rPr>
          <w:rFonts w:hint="eastAsia" w:eastAsia="宋体"/>
          <w:b/>
          <w:lang w:val="en-US" w:eastAsia="zh-CN"/>
        </w:rPr>
        <w:t>6</w:t>
      </w:r>
      <w:r>
        <w:rPr>
          <w:rFonts w:eastAsia="宋体"/>
          <w:b/>
          <w:lang w:eastAsia="zh-CN"/>
        </w:rPr>
        <w:t xml:space="preserve">: </w:t>
      </w:r>
      <w:r>
        <w:rPr>
          <w:rFonts w:hint="eastAsia" w:eastAsia="宋体"/>
          <w:i/>
          <w:iCs/>
          <w:lang w:val="en-US" w:eastAsia="fi-FI"/>
        </w:rPr>
        <w:t xml:space="preserve">In NR-U, </w:t>
      </w:r>
      <w:r>
        <w:rPr>
          <w:rFonts w:hint="eastAsia" w:eastAsia="宋体"/>
          <w:i/>
          <w:iCs/>
          <w:lang w:val="en-US" w:eastAsia="zh-CN"/>
        </w:rPr>
        <w:t>the</w:t>
      </w:r>
      <w:r>
        <w:rPr>
          <w:rFonts w:hint="eastAsia" w:eastAsia="宋体"/>
          <w:i/>
          <w:iCs/>
          <w:lang w:val="en-US" w:eastAsia="fi-FI"/>
        </w:rPr>
        <w:t xml:space="preserve"> </w:t>
      </w:r>
      <w:r>
        <w:rPr>
          <w:rFonts w:hint="eastAsia" w:eastAsia="宋体"/>
          <w:i/>
          <w:iCs/>
          <w:lang w:val="en-US" w:eastAsia="zh-CN"/>
        </w:rPr>
        <w:t xml:space="preserve">slot index indicated in </w:t>
      </w:r>
      <w:r>
        <w:rPr>
          <w:rFonts w:hint="eastAsia" w:eastAsia="宋体"/>
          <w:i/>
          <w:iCs/>
          <w:lang w:val="en-US" w:eastAsia="fi-FI"/>
        </w:rPr>
        <w:t xml:space="preserve">parameter </w:t>
      </w:r>
      <w:r>
        <w:rPr>
          <w:rFonts w:hint="eastAsia" w:eastAsia="宋体"/>
          <w:i/>
          <w:iCs/>
          <w:lang w:val="en-US" w:eastAsia="zh-CN"/>
        </w:rPr>
        <w:t>monitoringSlotPeriodicityAndOffset of the search space</w:t>
      </w:r>
      <w:r>
        <w:rPr>
          <w:rFonts w:hint="eastAsia" w:eastAsia="宋体"/>
          <w:i/>
          <w:iCs/>
          <w:lang w:val="en-US" w:eastAsia="fi-FI"/>
        </w:rPr>
        <w:t xml:space="preserve"> </w:t>
      </w:r>
      <w:r>
        <w:rPr>
          <w:rFonts w:hint="eastAsia" w:eastAsia="宋体"/>
          <w:i/>
          <w:iCs/>
          <w:lang w:val="en-US" w:eastAsia="zh-CN"/>
        </w:rPr>
        <w:t>sh</w:t>
      </w:r>
      <w:r>
        <w:rPr>
          <w:rFonts w:eastAsia="宋体"/>
          <w:i/>
          <w:iCs/>
          <w:lang w:val="en-US" w:eastAsia="zh-CN"/>
        </w:rPr>
        <w:t xml:space="preserve">ould </w:t>
      </w:r>
      <w:r>
        <w:rPr>
          <w:rFonts w:hint="eastAsia" w:eastAsia="宋体"/>
          <w:i/>
          <w:iCs/>
          <w:lang w:val="en-US" w:eastAsia="zh-CN"/>
        </w:rPr>
        <w:t>be defined relative</w:t>
      </w:r>
      <w:r>
        <w:rPr>
          <w:rFonts w:hint="eastAsia" w:eastAsia="宋体"/>
          <w:i/>
          <w:iCs/>
          <w:lang w:val="en-US" w:eastAsia="fi-FI"/>
        </w:rPr>
        <w:t xml:space="preserve"> to the starting </w:t>
      </w:r>
      <w:r>
        <w:rPr>
          <w:rFonts w:hint="eastAsia" w:eastAsia="宋体"/>
          <w:i/>
          <w:iCs/>
          <w:lang w:val="en-US" w:eastAsia="zh-CN"/>
        </w:rPr>
        <w:t>slot of the COT</w:t>
      </w:r>
      <w:r>
        <w:rPr>
          <w:rFonts w:hint="eastAsia" w:eastAsia="宋体"/>
          <w:i/>
          <w:iCs/>
          <w:lang w:val="en-US" w:eastAsia="fi-FI"/>
        </w:rPr>
        <w:t>.</w:t>
      </w:r>
      <w:r>
        <w:rPr>
          <w:rFonts w:hint="eastAsia" w:eastAsia="宋体"/>
          <w:i/>
          <w:iCs/>
          <w:lang w:val="en-US" w:eastAsia="zh-CN"/>
        </w:rPr>
        <w:t xml:space="preserve"> </w:t>
      </w:r>
    </w:p>
    <w:p>
      <w:pPr>
        <w:numPr>
          <w:ilvl w:val="255"/>
          <w:numId w:val="0"/>
        </w:numPr>
        <w:jc w:val="both"/>
        <w:rPr>
          <w:rFonts w:hint="eastAsia" w:eastAsia="宋体"/>
          <w:i/>
          <w:iCs/>
          <w:sz w:val="20"/>
          <w:szCs w:val="20"/>
          <w:lang w:val="en-US" w:eastAsia="zh-CN"/>
        </w:rPr>
      </w:pPr>
      <w:r>
        <w:rPr>
          <w:rFonts w:hint="eastAsia" w:eastAsia="宋体"/>
          <w:b/>
          <w:lang w:val="en-US" w:eastAsia="zh-CN"/>
        </w:rPr>
        <w:t>Proposal 7:</w:t>
      </w:r>
      <w:r>
        <w:rPr>
          <w:rFonts w:hint="eastAsia" w:eastAsia="宋体"/>
          <w:b w:val="0"/>
          <w:bCs/>
          <w:i/>
          <w:iCs/>
          <w:lang w:val="en-US" w:eastAsia="zh-CN"/>
        </w:rPr>
        <w:t xml:space="preserve"> For FBE, </w:t>
      </w:r>
      <w:r>
        <w:rPr>
          <w:rFonts w:hint="eastAsia" w:eastAsia="宋体"/>
          <w:i/>
          <w:iCs/>
          <w:sz w:val="20"/>
          <w:szCs w:val="20"/>
          <w:lang w:val="en-US" w:eastAsia="zh-CN"/>
        </w:rPr>
        <w:t>the beginning of Fixed Frame Period can be aligned with slot boundary to increase spectrum efficiency and reduce impacts on PDSCH mapping.</w:t>
      </w:r>
    </w:p>
    <w:p>
      <w:pPr>
        <w:numPr>
          <w:ilvl w:val="255"/>
          <w:numId w:val="0"/>
        </w:numPr>
        <w:jc w:val="both"/>
        <w:rPr>
          <w:rFonts w:hint="eastAsia" w:eastAsia="宋体"/>
          <w:i w:val="0"/>
          <w:iCs w:val="0"/>
          <w:sz w:val="20"/>
          <w:szCs w:val="20"/>
          <w:lang w:val="en-US" w:eastAsia="zh-CN"/>
        </w:rPr>
      </w:pPr>
      <w:r>
        <w:rPr>
          <w:rFonts w:hint="eastAsia" w:eastAsia="宋体"/>
          <w:b/>
          <w:lang w:val="en-US" w:eastAsia="zh-CN"/>
        </w:rPr>
        <w:t>Proposal 8:</w:t>
      </w:r>
      <w:r>
        <w:rPr>
          <w:rFonts w:hint="eastAsia" w:eastAsia="宋体"/>
          <w:b w:val="0"/>
          <w:bCs/>
          <w:i/>
          <w:iCs/>
          <w:lang w:val="en-US" w:eastAsia="zh-CN"/>
        </w:rPr>
        <w:t xml:space="preserve"> For FBE, UE only needs to detect DL burst at the beginning of Fixed Frame Period</w:t>
      </w:r>
      <w:r>
        <w:rPr>
          <w:rFonts w:hint="eastAsia" w:eastAsia="宋体"/>
          <w:i/>
          <w:iCs/>
          <w:sz w:val="20"/>
          <w:szCs w:val="20"/>
          <w:lang w:val="en-US" w:eastAsia="zh-CN"/>
        </w:rPr>
        <w:t>.</w:t>
      </w:r>
    </w:p>
    <w:p>
      <w:pPr>
        <w:numPr>
          <w:ilvl w:val="255"/>
          <w:numId w:val="0"/>
        </w:numPr>
        <w:jc w:val="both"/>
        <w:rPr>
          <w:rFonts w:hint="eastAsia" w:eastAsia="宋体"/>
          <w:lang w:val="en-US" w:eastAsia="zh-CN"/>
        </w:rPr>
      </w:pPr>
      <w:r>
        <w:rPr>
          <w:rFonts w:hint="eastAsia" w:eastAsia="宋体"/>
          <w:b/>
          <w:lang w:val="en-US" w:eastAsia="zh-CN"/>
        </w:rPr>
        <w:t>Proposal 9:</w:t>
      </w:r>
      <w:r>
        <w:rPr>
          <w:rFonts w:hint="eastAsia" w:eastAsia="宋体"/>
          <w:b w:val="0"/>
          <w:bCs/>
          <w:i/>
          <w:iCs/>
          <w:lang w:val="en-US" w:eastAsia="zh-CN"/>
        </w:rPr>
        <w:t xml:space="preserve"> </w:t>
      </w:r>
      <w:r>
        <w:rPr>
          <w:rFonts w:hint="eastAsia" w:eastAsia="宋体"/>
          <w:i/>
          <w:iCs/>
          <w:lang w:val="en-US" w:eastAsia="zh-CN"/>
        </w:rPr>
        <w:t>The GC-PDCCH indicating COT duration and/or COT structure can be transmitted more than once in a COT.</w:t>
      </w:r>
    </w:p>
    <w:p>
      <w:pPr>
        <w:numPr>
          <w:ilvl w:val="255"/>
          <w:numId w:val="0"/>
        </w:numPr>
        <w:jc w:val="both"/>
        <w:rPr>
          <w:rFonts w:hint="default" w:eastAsia="宋体"/>
          <w:lang w:val="en-US" w:eastAsia="zh-CN"/>
        </w:rPr>
      </w:pPr>
      <w:r>
        <w:rPr>
          <w:rFonts w:hint="eastAsia" w:eastAsia="宋体"/>
          <w:b/>
          <w:lang w:val="en-US" w:eastAsia="zh-CN"/>
        </w:rPr>
        <w:t>Proposal 10:</w:t>
      </w:r>
      <w:r>
        <w:rPr>
          <w:rFonts w:hint="eastAsia" w:eastAsia="宋体"/>
          <w:b w:val="0"/>
          <w:bCs/>
          <w:i/>
          <w:iCs/>
          <w:lang w:val="en-US" w:eastAsia="zh-CN"/>
        </w:rPr>
        <w:t xml:space="preserve"> </w:t>
      </w:r>
      <w:r>
        <w:rPr>
          <w:rFonts w:hint="eastAsia" w:eastAsia="宋体"/>
          <w:i/>
          <w:iCs/>
          <w:lang w:val="en-US" w:eastAsia="zh-CN"/>
        </w:rPr>
        <w:t>The COT duration in each GC-PDCCH is encoded as remaining length.</w:t>
      </w:r>
    </w:p>
    <w:p>
      <w:pPr>
        <w:numPr>
          <w:ilvl w:val="255"/>
          <w:numId w:val="0"/>
        </w:numPr>
        <w:jc w:val="both"/>
        <w:rPr>
          <w:rFonts w:hint="default" w:eastAsia="宋体"/>
          <w:i/>
          <w:iCs/>
          <w:lang w:val="en-US" w:eastAsia="zh-CN"/>
        </w:rPr>
      </w:pPr>
      <w:r>
        <w:rPr>
          <w:rFonts w:hint="eastAsia" w:eastAsia="宋体"/>
          <w:b/>
          <w:lang w:val="en-US" w:eastAsia="zh-CN"/>
        </w:rPr>
        <w:t>Proposal 11:</w:t>
      </w:r>
      <w:r>
        <w:rPr>
          <w:rFonts w:hint="eastAsia" w:eastAsia="宋体"/>
          <w:b w:val="0"/>
          <w:bCs/>
          <w:i/>
          <w:iCs/>
          <w:lang w:val="en-US" w:eastAsia="zh-CN"/>
        </w:rPr>
        <w:t xml:space="preserve"> The g</w:t>
      </w:r>
      <w:r>
        <w:rPr>
          <w:rFonts w:hint="eastAsia" w:eastAsia="宋体"/>
          <w:i/>
          <w:iCs/>
          <w:lang w:val="en-US" w:eastAsia="zh-CN"/>
        </w:rPr>
        <w:t>ranularity of the signaled duration can be a OFDM symbol.</w:t>
      </w:r>
    </w:p>
    <w:p>
      <w:pPr>
        <w:numPr>
          <w:ilvl w:val="255"/>
          <w:numId w:val="0"/>
        </w:numPr>
        <w:jc w:val="both"/>
        <w:rPr>
          <w:rFonts w:hint="default" w:eastAsia="宋体"/>
          <w:i/>
          <w:iCs/>
          <w:lang w:val="en-US" w:eastAsia="zh-CN"/>
        </w:rPr>
      </w:pPr>
      <w:r>
        <w:rPr>
          <w:rFonts w:hint="eastAsia" w:eastAsia="宋体"/>
          <w:b/>
          <w:lang w:val="en-US" w:eastAsia="zh-CN"/>
        </w:rPr>
        <w:t>Proposal 12:</w:t>
      </w:r>
      <w:r>
        <w:rPr>
          <w:rFonts w:hint="eastAsia" w:eastAsia="宋体"/>
          <w:b w:val="0"/>
          <w:bCs/>
          <w:i/>
          <w:iCs/>
          <w:lang w:val="en-US" w:eastAsia="zh-CN"/>
        </w:rPr>
        <w:t xml:space="preserve"> If the length of COT duration bit-field in GC-PDCCH is not configurable, a single value  e.g. 9 bits for it can be considered.</w:t>
      </w:r>
    </w:p>
    <w:p>
      <w:pPr>
        <w:numPr>
          <w:ilvl w:val="255"/>
          <w:numId w:val="0"/>
        </w:numPr>
        <w:jc w:val="both"/>
        <w:rPr>
          <w:rFonts w:hint="default" w:eastAsia="宋体"/>
          <w:i/>
          <w:iCs w:val="0"/>
          <w:lang w:val="en-US" w:eastAsia="zh-CN"/>
        </w:rPr>
      </w:pPr>
      <w:r>
        <w:rPr>
          <w:rFonts w:hint="eastAsia" w:eastAsia="宋体"/>
          <w:b/>
          <w:lang w:val="en-US" w:eastAsia="zh-CN"/>
        </w:rPr>
        <w:t>Proposal 13:</w:t>
      </w:r>
      <w:r>
        <w:rPr>
          <w:rFonts w:hint="eastAsia" w:eastAsia="宋体"/>
          <w:b w:val="0"/>
          <w:bCs/>
          <w:i/>
          <w:iCs/>
          <w:lang w:val="en-US" w:eastAsia="zh-CN"/>
        </w:rPr>
        <w:t xml:space="preserve"> F</w:t>
      </w:r>
      <w:r>
        <w:rPr>
          <w:i/>
          <w:iCs w:val="0"/>
          <w:lang w:val="en-GB" w:eastAsia="zh-CN"/>
        </w:rPr>
        <w:t xml:space="preserve">lexible symbol can be used to indicate </w:t>
      </w:r>
      <w:r>
        <w:rPr>
          <w:rFonts w:hint="eastAsia"/>
          <w:i/>
          <w:iCs w:val="0"/>
          <w:lang w:val="en-US" w:eastAsia="zh-CN"/>
        </w:rPr>
        <w:t>end-of-COT</w:t>
      </w:r>
      <w:r>
        <w:rPr>
          <w:i/>
          <w:iCs w:val="0"/>
          <w:lang w:val="en-GB" w:eastAsia="zh-CN"/>
        </w:rPr>
        <w:t xml:space="preserve">, </w:t>
      </w:r>
      <w:r>
        <w:rPr>
          <w:rFonts w:hint="eastAsia"/>
          <w:i/>
          <w:iCs w:val="0"/>
          <w:lang w:val="en-US" w:eastAsia="zh-CN"/>
        </w:rPr>
        <w:t xml:space="preserve">as long as </w:t>
      </w:r>
      <w:r>
        <w:rPr>
          <w:i/>
          <w:iCs w:val="0"/>
          <w:lang w:val="en-GB" w:eastAsia="zh-CN"/>
        </w:rPr>
        <w:t xml:space="preserve">there are no DL or UL symbols after flexible symbol </w:t>
      </w:r>
      <w:r>
        <w:rPr>
          <w:rFonts w:hint="eastAsia"/>
          <w:i/>
          <w:iCs w:val="0"/>
          <w:lang w:val="en-US" w:eastAsia="zh-CN"/>
        </w:rPr>
        <w:t>in last slot format in the slot format combination indicated by</w:t>
      </w:r>
      <w:r>
        <w:rPr>
          <w:i/>
          <w:iCs w:val="0"/>
          <w:lang w:val="en-GB" w:eastAsia="zh-CN"/>
        </w:rPr>
        <w:t xml:space="preserve"> DCI format 2</w:t>
      </w:r>
      <w:r>
        <w:rPr>
          <w:rFonts w:hint="eastAsia"/>
          <w:i/>
          <w:iCs w:val="0"/>
          <w:lang w:val="en-US" w:eastAsia="zh-CN"/>
        </w:rPr>
        <w:t>_</w:t>
      </w:r>
      <w:r>
        <w:rPr>
          <w:i/>
          <w:iCs w:val="0"/>
          <w:lang w:val="en-GB" w:eastAsia="zh-CN"/>
        </w:rPr>
        <w:t>0</w:t>
      </w:r>
      <w:r>
        <w:rPr>
          <w:rFonts w:hint="eastAsia"/>
          <w:i/>
          <w:iCs w:val="0"/>
          <w:lang w:val="en-US" w:eastAsia="zh-CN"/>
        </w:rPr>
        <w:t>.</w:t>
      </w:r>
    </w:p>
    <w:p>
      <w:pPr>
        <w:jc w:val="both"/>
        <w:rPr>
          <w:rFonts w:hint="eastAsia" w:eastAsia="宋体"/>
          <w:i/>
          <w:iCs/>
          <w:lang w:val="en-US" w:eastAsia="zh-CN"/>
        </w:rPr>
      </w:pPr>
      <w:r>
        <w:rPr>
          <w:rFonts w:hint="eastAsia" w:eastAsia="宋体"/>
          <w:b/>
          <w:lang w:val="en-US" w:eastAsia="zh-CN"/>
        </w:rPr>
        <w:t>Proposal 14:</w:t>
      </w:r>
      <w:r>
        <w:rPr>
          <w:rFonts w:hint="eastAsia" w:eastAsia="宋体"/>
          <w:b w:val="0"/>
          <w:bCs/>
          <w:i/>
          <w:iCs/>
          <w:lang w:val="en-US" w:eastAsia="zh-CN"/>
        </w:rPr>
        <w:t xml:space="preserve"> </w:t>
      </w:r>
      <w:r>
        <w:rPr>
          <w:i/>
          <w:iCs/>
          <w:lang w:val="en-US"/>
        </w:rPr>
        <w:t xml:space="preserve">Cat 4 </w:t>
      </w:r>
      <w:r>
        <w:rPr>
          <w:rFonts w:hint="eastAsia" w:eastAsia="宋体"/>
          <w:i/>
          <w:iCs/>
          <w:lang w:val="en-US" w:eastAsia="zh-CN"/>
        </w:rPr>
        <w:t xml:space="preserve">LBT </w:t>
      </w:r>
      <w:r>
        <w:rPr>
          <w:i/>
          <w:iCs/>
          <w:lang w:val="en-US"/>
        </w:rPr>
        <w:t xml:space="preserve">UL transmission (including CG) switching to </w:t>
      </w:r>
      <w:r>
        <w:rPr>
          <w:rFonts w:hint="eastAsia" w:eastAsia="宋体"/>
          <w:i/>
          <w:iCs/>
          <w:lang w:val="en-US" w:eastAsia="zh-CN"/>
        </w:rPr>
        <w:t>C</w:t>
      </w:r>
      <w:r>
        <w:rPr>
          <w:i/>
          <w:iCs/>
          <w:lang w:val="en-US"/>
        </w:rPr>
        <w:t xml:space="preserve">at </w:t>
      </w:r>
      <w:r>
        <w:rPr>
          <w:rFonts w:hint="eastAsia" w:eastAsia="宋体"/>
          <w:i/>
          <w:iCs/>
          <w:lang w:val="en-US" w:eastAsia="zh-CN"/>
        </w:rPr>
        <w:t xml:space="preserve">1 LBT / Cat </w:t>
      </w:r>
      <w:r>
        <w:rPr>
          <w:i/>
          <w:iCs/>
          <w:lang w:val="en-US"/>
        </w:rPr>
        <w:t>2</w:t>
      </w:r>
      <w:r>
        <w:rPr>
          <w:rFonts w:hint="eastAsia" w:eastAsia="宋体"/>
          <w:i/>
          <w:iCs/>
          <w:lang w:val="en-US" w:eastAsia="zh-CN"/>
        </w:rPr>
        <w:t xml:space="preserve"> LBT with 16us or 25us </w:t>
      </w:r>
      <w:r>
        <w:rPr>
          <w:i/>
          <w:iCs/>
          <w:lang w:val="en-US"/>
        </w:rPr>
        <w:t>when fall in gNB COT</w:t>
      </w:r>
      <w:r>
        <w:rPr>
          <w:rFonts w:hint="eastAsia" w:eastAsia="宋体"/>
          <w:i/>
          <w:iCs/>
          <w:lang w:val="en-US" w:eastAsia="zh-CN"/>
        </w:rPr>
        <w:t xml:space="preserve"> should be supported.</w:t>
      </w:r>
    </w:p>
    <w:p>
      <w:pPr>
        <w:jc w:val="both"/>
        <w:rPr>
          <w:rFonts w:hint="default" w:eastAsia="宋体"/>
          <w:i/>
          <w:iCs/>
          <w:lang w:val="en-US" w:eastAsia="zh-CN"/>
        </w:rPr>
      </w:pPr>
      <w:r>
        <w:rPr>
          <w:rFonts w:hint="eastAsia" w:eastAsia="宋体"/>
          <w:b/>
          <w:lang w:val="en-US" w:eastAsia="zh-CN"/>
        </w:rPr>
        <w:t>Proposal 15:</w:t>
      </w:r>
      <w:r>
        <w:rPr>
          <w:rFonts w:hint="eastAsia" w:eastAsia="宋体"/>
          <w:b w:val="0"/>
          <w:bCs/>
          <w:i/>
          <w:iCs/>
          <w:lang w:val="en-US" w:eastAsia="zh-CN"/>
        </w:rPr>
        <w:t xml:space="preserve"> </w:t>
      </w:r>
      <w:r>
        <w:rPr>
          <w:rFonts w:hint="eastAsia" w:eastAsia="宋体"/>
          <w:i/>
          <w:iCs/>
          <w:sz w:val="20"/>
          <w:szCs w:val="20"/>
          <w:highlight w:val="none"/>
          <w:lang w:val="en-US" w:eastAsia="zh-CN"/>
        </w:rPr>
        <w:t>COT sharing information can be informed to the UE, including sharing indicator for indicating whether UL transmission can share the current COT when fall in gNB COT and LBT type (e.g. Cat 1 LBT or Cat 2 LBT with 16 us or 25us) if COT sharing is allowed.</w:t>
      </w:r>
    </w:p>
    <w:p>
      <w:pPr>
        <w:numPr>
          <w:ilvl w:val="255"/>
          <w:numId w:val="0"/>
        </w:numPr>
        <w:spacing w:after="60" w:line="260" w:lineRule="auto"/>
        <w:jc w:val="both"/>
        <w:rPr>
          <w:rFonts w:hint="eastAsia" w:eastAsia="宋体"/>
          <w:bCs/>
          <w:i/>
          <w:iCs/>
          <w:lang w:val="en-US" w:eastAsia="zh-CN"/>
        </w:rPr>
      </w:pPr>
      <w:r>
        <w:rPr>
          <w:b/>
          <w:snapToGrid w:val="0"/>
        </w:rPr>
        <w:t xml:space="preserve">Proposal </w:t>
      </w:r>
      <w:r>
        <w:rPr>
          <w:rFonts w:hint="eastAsia" w:eastAsia="宋体"/>
          <w:b/>
          <w:snapToGrid w:val="0"/>
          <w:lang w:val="en-US" w:eastAsia="zh-CN"/>
        </w:rPr>
        <w:t>15</w:t>
      </w:r>
      <w:r>
        <w:rPr>
          <w:b/>
          <w:snapToGrid w:val="0"/>
        </w:rPr>
        <w:t xml:space="preserve">: </w:t>
      </w:r>
      <w:r>
        <w:rPr>
          <w:rFonts w:hint="eastAsia" w:eastAsia="宋体"/>
          <w:bCs/>
          <w:i/>
          <w:iCs/>
          <w:lang w:val="en-US" w:eastAsia="zh-CN"/>
        </w:rPr>
        <w:t>GC-PDCCH indication in frequency domain issues are to be solved in the following way:</w:t>
      </w:r>
    </w:p>
    <w:p>
      <w:pPr>
        <w:numPr>
          <w:ilvl w:val="0"/>
          <w:numId w:val="18"/>
        </w:numPr>
        <w:spacing w:after="0" w:line="260" w:lineRule="auto"/>
        <w:jc w:val="both"/>
        <w:rPr>
          <w:i/>
          <w:iCs/>
          <w:lang w:val="en-US"/>
        </w:rPr>
      </w:pPr>
      <w:r>
        <w:rPr>
          <w:rFonts w:hint="eastAsia" w:eastAsia="宋体"/>
          <w:i/>
          <w:iCs/>
          <w:lang w:val="en-US" w:eastAsia="zh-CN"/>
        </w:rPr>
        <w:t>The time domain validity of indication can be extended to a whole COT as LBT results performed in other LBT sub-bands within the COT may not be accurate.</w:t>
      </w:r>
    </w:p>
    <w:p>
      <w:pPr>
        <w:numPr>
          <w:ilvl w:val="0"/>
          <w:numId w:val="18"/>
        </w:numPr>
        <w:spacing w:after="180" w:line="260" w:lineRule="auto"/>
        <w:ind w:left="726" w:hanging="363"/>
        <w:jc w:val="both"/>
        <w:rPr>
          <w:i/>
          <w:iCs/>
          <w:lang w:val="en-US"/>
        </w:rPr>
      </w:pPr>
      <w:r>
        <w:rPr>
          <w:rFonts w:hint="eastAsia" w:eastAsia="宋体"/>
          <w:i/>
          <w:iCs/>
          <w:lang w:val="en-US" w:eastAsia="zh-CN"/>
        </w:rPr>
        <w:t>When GC-PDCCH is not configured or not received by the UE, or at the beginning of DL transmission burst, t</w:t>
      </w:r>
      <w:r>
        <w:rPr>
          <w:rFonts w:hint="eastAsia"/>
          <w:bCs/>
          <w:i/>
          <w:iCs/>
          <w:lang w:val="en-US" w:eastAsia="zh-CN"/>
        </w:rPr>
        <w:t xml:space="preserve">he UE can </w:t>
      </w:r>
      <w:r>
        <w:rPr>
          <w:bCs/>
          <w:i/>
          <w:iCs/>
          <w:lang w:val="en-US" w:eastAsia="zh-CN"/>
        </w:rPr>
        <w:t>obtain</w:t>
      </w:r>
      <w:r>
        <w:rPr>
          <w:rFonts w:hint="eastAsia"/>
          <w:bCs/>
          <w:i/>
          <w:iCs/>
          <w:lang w:val="en-US" w:eastAsia="zh-CN"/>
        </w:rPr>
        <w:t xml:space="preserve"> </w:t>
      </w:r>
      <w:r>
        <w:rPr>
          <w:bCs/>
          <w:i/>
          <w:iCs/>
          <w:lang w:val="en-US" w:eastAsia="zh-CN"/>
        </w:rPr>
        <w:t xml:space="preserve">the information about </w:t>
      </w:r>
      <w:r>
        <w:rPr>
          <w:rFonts w:hint="eastAsia"/>
          <w:bCs/>
          <w:i/>
          <w:iCs/>
          <w:lang w:val="en-US" w:eastAsia="zh-CN"/>
        </w:rPr>
        <w:t xml:space="preserve">LBT </w:t>
      </w:r>
      <w:r>
        <w:rPr>
          <w:bCs/>
          <w:i/>
          <w:iCs/>
          <w:lang w:val="en-US" w:eastAsia="zh-CN"/>
        </w:rPr>
        <w:t>outcome</w:t>
      </w:r>
      <w:r>
        <w:rPr>
          <w:rFonts w:hint="eastAsia"/>
          <w:bCs/>
          <w:i/>
          <w:iCs/>
          <w:lang w:val="en-US" w:eastAsia="zh-CN"/>
        </w:rPr>
        <w:t xml:space="preserve"> </w:t>
      </w:r>
      <w:r>
        <w:rPr>
          <w:bCs/>
          <w:i/>
          <w:iCs/>
          <w:lang w:val="en-US" w:eastAsia="zh-CN"/>
        </w:rPr>
        <w:t>in</w:t>
      </w:r>
      <w:r>
        <w:rPr>
          <w:rFonts w:hint="eastAsia"/>
          <w:bCs/>
          <w:i/>
          <w:iCs/>
          <w:lang w:val="en-US" w:eastAsia="zh-CN"/>
        </w:rPr>
        <w:t xml:space="preserve"> each sub</w:t>
      </w:r>
      <w:r>
        <w:rPr>
          <w:bCs/>
          <w:i/>
          <w:iCs/>
          <w:lang w:val="en-US" w:eastAsia="zh-CN"/>
        </w:rPr>
        <w:t>-</w:t>
      </w:r>
      <w:r>
        <w:rPr>
          <w:rFonts w:hint="eastAsia"/>
          <w:bCs/>
          <w:i/>
          <w:iCs/>
          <w:lang w:val="en-US" w:eastAsia="zh-CN"/>
        </w:rPr>
        <w:t>band based on initial signal e.g. DMRS</w:t>
      </w:r>
      <w:r>
        <w:rPr>
          <w:rFonts w:hint="eastAsia" w:eastAsia="宋体"/>
          <w:i/>
          <w:iCs/>
          <w:lang w:val="en-US" w:eastAsia="zh-CN"/>
        </w:rPr>
        <w:t>.</w:t>
      </w:r>
    </w:p>
    <w:p>
      <w:pPr>
        <w:numPr>
          <w:ilvl w:val="255"/>
          <w:numId w:val="0"/>
        </w:numPr>
        <w:jc w:val="both"/>
        <w:rPr>
          <w:rFonts w:hint="eastAsia" w:eastAsia="宋体"/>
          <w:i/>
          <w:iCs/>
          <w:sz w:val="20"/>
          <w:szCs w:val="20"/>
          <w:lang w:val="en-US" w:eastAsia="zh-CN"/>
        </w:rPr>
      </w:pPr>
      <w:r>
        <w:rPr>
          <w:rFonts w:eastAsia="宋体"/>
          <w:b/>
          <w:lang w:eastAsia="zh-CN"/>
        </w:rPr>
        <w:t xml:space="preserve">Proposal </w:t>
      </w:r>
      <w:r>
        <w:rPr>
          <w:rFonts w:hint="eastAsia" w:eastAsia="宋体"/>
          <w:b/>
          <w:lang w:val="en-US" w:eastAsia="zh-CN"/>
        </w:rPr>
        <w:t>16</w:t>
      </w:r>
      <w:r>
        <w:rPr>
          <w:rFonts w:eastAsia="宋体"/>
          <w:b/>
          <w:lang w:eastAsia="zh-CN"/>
        </w:rPr>
        <w:t xml:space="preserve">: </w:t>
      </w:r>
      <w:r>
        <w:rPr>
          <w:rFonts w:hint="eastAsia" w:eastAsia="宋体"/>
          <w:bCs/>
          <w:i/>
          <w:iCs/>
          <w:lang w:val="en-US" w:eastAsia="zh-CN"/>
        </w:rPr>
        <w:t xml:space="preserve">There is nothing that needs to be specially defined for </w:t>
      </w:r>
      <w:r>
        <w:rPr>
          <w:rFonts w:hint="eastAsia" w:eastAsia="宋体"/>
          <w:i/>
          <w:iCs/>
          <w:sz w:val="20"/>
          <w:szCs w:val="20"/>
          <w:lang w:val="en-US" w:eastAsia="zh-CN"/>
        </w:rPr>
        <w:t>behavior when P/SP-CSI-RS fail to transmit due to LBT.</w:t>
      </w:r>
    </w:p>
    <w:p>
      <w:pPr>
        <w:jc w:val="both"/>
        <w:rPr>
          <w:lang w:val="en-US" w:eastAsia="zh-CN"/>
        </w:rPr>
      </w:pPr>
      <w:r>
        <w:rPr>
          <w:rFonts w:eastAsia="宋体"/>
          <w:b/>
          <w:lang w:eastAsia="zh-CN"/>
        </w:rPr>
        <w:t xml:space="preserve">Proposal </w:t>
      </w:r>
      <w:r>
        <w:rPr>
          <w:rFonts w:hint="eastAsia" w:eastAsia="宋体"/>
          <w:b/>
          <w:lang w:val="en-US" w:eastAsia="zh-CN"/>
        </w:rPr>
        <w:t>17</w:t>
      </w:r>
      <w:r>
        <w:rPr>
          <w:rFonts w:eastAsia="宋体"/>
          <w:b/>
          <w:lang w:eastAsia="zh-CN"/>
        </w:rPr>
        <w:t xml:space="preserve">: </w:t>
      </w:r>
      <w:r>
        <w:rPr>
          <w:rFonts w:hint="eastAsia" w:eastAsia="宋体"/>
          <w:bCs/>
          <w:i/>
          <w:iCs/>
          <w:lang w:val="en-US" w:eastAsia="zh-CN"/>
        </w:rPr>
        <w:t>No change to DMRS sequence generation is needed.</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widowControl w:val="0"/>
        <w:numPr>
          <w:ilvl w:val="0"/>
          <w:numId w:val="19"/>
        </w:numPr>
        <w:autoSpaceDE w:val="0"/>
        <w:autoSpaceDN w:val="0"/>
        <w:adjustRightInd w:val="0"/>
        <w:spacing w:after="0" w:line="276" w:lineRule="auto"/>
        <w:ind w:left="400" w:hanging="400" w:hangingChars="200"/>
        <w:jc w:val="both"/>
        <w:rPr>
          <w:rFonts w:hint="eastAsia" w:eastAsia="宋体"/>
          <w:sz w:val="20"/>
          <w:szCs w:val="20"/>
          <w:lang w:val="en-US" w:eastAsia="zh-CN"/>
        </w:rPr>
      </w:pPr>
      <w:r>
        <w:rPr>
          <w:rFonts w:hint="eastAsia" w:eastAsia="宋体"/>
          <w:lang w:val="en-US" w:eastAsia="zh-CN"/>
        </w:rPr>
        <w:t>3GPP, RP-191581, Guidance on essential functionality for NR-U, Qualcomm, RAN#84, June 2019</w:t>
      </w:r>
    </w:p>
    <w:p>
      <w:pPr>
        <w:widowControl w:val="0"/>
        <w:numPr>
          <w:ilvl w:val="0"/>
          <w:numId w:val="19"/>
        </w:numPr>
        <w:autoSpaceDE w:val="0"/>
        <w:autoSpaceDN w:val="0"/>
        <w:adjustRightInd w:val="0"/>
        <w:spacing w:after="0" w:line="276" w:lineRule="auto"/>
        <w:ind w:left="400" w:hanging="400" w:hangingChars="200"/>
        <w:jc w:val="both"/>
        <w:rPr>
          <w:rFonts w:hint="eastAsia" w:eastAsia="宋体"/>
          <w:sz w:val="20"/>
          <w:szCs w:val="20"/>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#98bis_v0.1, October, 2019</w:t>
      </w:r>
    </w:p>
    <w:p>
      <w:pPr>
        <w:widowControl w:val="0"/>
        <w:numPr>
          <w:ilvl w:val="0"/>
          <w:numId w:val="19"/>
        </w:numPr>
        <w:autoSpaceDE w:val="0"/>
        <w:autoSpaceDN w:val="0"/>
        <w:adjustRightInd w:val="0"/>
        <w:spacing w:before="0" w:after="0" w:line="276" w:lineRule="auto"/>
        <w:ind w:left="400" w:hanging="400" w:hangingChars="200"/>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19"/>
        </w:numPr>
        <w:autoSpaceDE w:val="0"/>
        <w:autoSpaceDN w:val="0"/>
        <w:adjustRightInd w:val="0"/>
        <w:spacing w:before="0" w:after="0" w:line="276" w:lineRule="auto"/>
        <w:ind w:left="400" w:hanging="400" w:hangingChars="200"/>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#97_v1.0, May, 2019</w:t>
      </w:r>
    </w:p>
    <w:p>
      <w:pPr>
        <w:widowControl w:val="0"/>
        <w:numPr>
          <w:ilvl w:val="0"/>
          <w:numId w:val="19"/>
        </w:numPr>
        <w:autoSpaceDE w:val="0"/>
        <w:autoSpaceDN w:val="0"/>
        <w:adjustRightInd w:val="0"/>
        <w:spacing w:after="0" w:line="276" w:lineRule="auto"/>
        <w:ind w:left="400" w:hanging="400" w:hangingChars="200"/>
        <w:jc w:val="both"/>
        <w:rPr>
          <w:rFonts w:eastAsia="宋体"/>
          <w:lang w:val="en-US" w:eastAsia="zh-CN"/>
        </w:rPr>
      </w:pPr>
      <w:r>
        <w:rPr>
          <w:rFonts w:hint="eastAsia" w:eastAsia="宋体"/>
          <w:lang w:val="en-US" w:eastAsia="zh-CN"/>
        </w:rPr>
        <w:t>3GPP, Draft_Minutes_report_RAN1 AH_1901_v1.0, January, 2019</w:t>
      </w:r>
    </w:p>
    <w:p>
      <w:pPr>
        <w:widowControl w:val="0"/>
        <w:numPr>
          <w:ilvl w:val="0"/>
          <w:numId w:val="19"/>
        </w:numPr>
        <w:autoSpaceDE w:val="0"/>
        <w:autoSpaceDN w:val="0"/>
        <w:adjustRightInd w:val="0"/>
        <w:spacing w:after="0" w:line="276" w:lineRule="auto"/>
        <w:ind w:left="400" w:hanging="400" w:hangingChars="200"/>
        <w:jc w:val="both"/>
        <w:rPr>
          <w:rFonts w:eastAsia="宋体"/>
          <w:lang w:val="en-US" w:eastAsia="zh-CN"/>
        </w:rPr>
      </w:pPr>
      <w:r>
        <w:rPr>
          <w:rFonts w:hint="eastAsia" w:eastAsia="宋体"/>
          <w:lang w:val="en-US" w:eastAsia="zh-CN"/>
        </w:rPr>
        <w:t>3GPP, ETSI EN 301 893 V2.1.1, Harmonized European Standard, 5GHz RLAN, May, 2017</w:t>
      </w:r>
    </w:p>
    <w:p>
      <w:pPr>
        <w:widowControl w:val="0"/>
        <w:numPr>
          <w:ilvl w:val="0"/>
          <w:numId w:val="19"/>
        </w:numPr>
        <w:autoSpaceDE w:val="0"/>
        <w:autoSpaceDN w:val="0"/>
        <w:adjustRightInd w:val="0"/>
        <w:spacing w:after="0" w:line="276" w:lineRule="auto"/>
        <w:ind w:left="400" w:hanging="400" w:hangingChars="200"/>
        <w:jc w:val="both"/>
        <w:rPr>
          <w:rFonts w:eastAsia="宋体"/>
          <w:lang w:val="en-US" w:eastAsia="zh-CN"/>
        </w:rPr>
      </w:pPr>
      <w:r>
        <w:rPr>
          <w:rFonts w:hint="eastAsia" w:eastAsia="宋体"/>
          <w:lang w:val="en-US" w:eastAsia="zh-CN"/>
        </w:rPr>
        <w:t xml:space="preserve">3GPP, </w:t>
      </w:r>
      <w:r>
        <w:rPr>
          <w:rFonts w:hint="eastAsia" w:eastAsia="宋体"/>
          <w:highlight w:val="none"/>
          <w:lang w:val="en-US" w:eastAsia="zh-CN"/>
        </w:rPr>
        <w:t>R1-1909971, C</w:t>
      </w:r>
      <w:r>
        <w:rPr>
          <w:rFonts w:hint="eastAsia" w:eastAsia="宋体"/>
          <w:lang w:val="en-US" w:eastAsia="zh-CN"/>
        </w:rPr>
        <w:t>onsiderations on initial access signals and channels for NR-U, ZTE, October 2019</w:t>
      </w:r>
    </w:p>
    <w:p>
      <w:pPr>
        <w:widowControl w:val="0"/>
        <w:numPr>
          <w:ilvl w:val="-1"/>
          <w:numId w:val="0"/>
        </w:numPr>
        <w:autoSpaceDE w:val="0"/>
        <w:autoSpaceDN w:val="0"/>
        <w:adjustRightInd w:val="0"/>
        <w:spacing w:after="0" w:line="276" w:lineRule="auto"/>
        <w:ind w:left="0" w:firstLine="0"/>
        <w:jc w:val="both"/>
        <w:rPr>
          <w:rFonts w:hint="eastAsia" w:eastAsia="宋体"/>
          <w:sz w:val="20"/>
          <w:szCs w:val="20"/>
          <w:lang w:val="en-US" w:eastAsia="zh-CN"/>
        </w:rPr>
      </w:pPr>
    </w:p>
    <w:p>
      <w:pPr>
        <w:widowControl w:val="0"/>
        <w:numPr>
          <w:ilvl w:val="-1"/>
          <w:numId w:val="0"/>
        </w:numPr>
        <w:autoSpaceDE w:val="0"/>
        <w:autoSpaceDN w:val="0"/>
        <w:adjustRightInd w:val="0"/>
        <w:spacing w:after="0" w:line="276" w:lineRule="auto"/>
        <w:ind w:left="0" w:firstLine="0"/>
        <w:jc w:val="both"/>
        <w:rPr>
          <w:rFonts w:eastAsia="宋体"/>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Borders>
        <w:top w:val="none" w:sz="0" w:space="0"/>
        <w:left w:val="none" w:sz="0" w:space="0"/>
        <w:bottom w:val="none" w:sz="0" w:space="0"/>
        <w:right w:val="none" w:sz="0" w:space="0"/>
      </w:pgBorders>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icrosoft Sans Serif">
    <w:panose1 w:val="020B0604020202020204"/>
    <w:charset w:val="00"/>
    <w:family w:val="swiss"/>
    <w:pitch w:val="default"/>
    <w:sig w:usb0="E1002AFF" w:usb1="C0000002" w:usb2="00000008" w:usb3="00000000" w:csb0="200101FF" w:csb1="2028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6</w:t>
    </w:r>
    <w:r>
      <w:rPr>
        <w:rFonts w:ascii="Times New Roman" w:hAnsi="Times New Roman"/>
        <w:b w:val="0"/>
        <w:i w:val="0"/>
      </w:rPr>
      <w:fldChar w:fldCharType="end"/>
    </w:r>
  </w:p>
  <w:p>
    <w:pPr>
      <w:pStyle w:val="20"/>
      <w:ind w:right="360"/>
    </w:pP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25"/>
      </w:rPr>
    </w:pPr>
    <w:r>
      <w:fldChar w:fldCharType="begin"/>
    </w:r>
    <w:r>
      <w:rPr>
        <w:rStyle w:val="25"/>
        <w:rFonts w:eastAsia="宋体"/>
      </w:rPr>
      <w:instrText xml:space="preserve">PAGE  </w:instrText>
    </w:r>
    <w:r>
      <w:fldChar w:fldCharType="separate"/>
    </w:r>
    <w:r>
      <w:rPr>
        <w:rStyle w:val="25"/>
        <w:rFonts w:eastAsia="宋体"/>
      </w:rPr>
      <w:t>1</w:t>
    </w:r>
    <w: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517FB"/>
    <w:multiLevelType w:val="multilevel"/>
    <w:tmpl w:val="02B517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8F8180F"/>
    <w:multiLevelType w:val="multilevel"/>
    <w:tmpl w:val="18F818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D927F32"/>
    <w:multiLevelType w:val="multilevel"/>
    <w:tmpl w:val="2D927F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8461F85"/>
    <w:multiLevelType w:val="multilevel"/>
    <w:tmpl w:val="38461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BB66F0"/>
    <w:multiLevelType w:val="multilevel"/>
    <w:tmpl w:val="3ABB66F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3B654D8A"/>
    <w:multiLevelType w:val="multilevel"/>
    <w:tmpl w:val="3B654D8A"/>
    <w:lvl w:ilvl="0" w:tentative="0">
      <w:start w:val="1"/>
      <w:numFmt w:val="bullet"/>
      <w:lvlText w:val="•"/>
      <w:lvlJc w:val="left"/>
      <w:pPr>
        <w:tabs>
          <w:tab w:val="left" w:pos="720"/>
        </w:tabs>
        <w:ind w:left="720" w:hanging="360"/>
      </w:pPr>
      <w:rPr>
        <w:rFonts w:hint="default" w:ascii="Arial" w:hAnsi="Arial"/>
      </w:rPr>
    </w:lvl>
    <w:lvl w:ilvl="1" w:tentative="0">
      <w:start w:val="156"/>
      <w:numFmt w:val="bullet"/>
      <w:lvlText w:val="◦"/>
      <w:lvlJc w:val="left"/>
      <w:pPr>
        <w:tabs>
          <w:tab w:val="left" w:pos="1440"/>
        </w:tabs>
        <w:ind w:left="1440" w:hanging="360"/>
      </w:pPr>
      <w:rPr>
        <w:rFonts w:hint="default" w:ascii="Microsoft Sans Serif" w:hAnsi="Microsoft Sans Serif"/>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13">
    <w:nsid w:val="527358F2"/>
    <w:multiLevelType w:val="multilevel"/>
    <w:tmpl w:val="527358F2"/>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4">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5">
    <w:nsid w:val="61FD005B"/>
    <w:multiLevelType w:val="multilevel"/>
    <w:tmpl w:val="61FD00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7">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2"/>
  </w:num>
  <w:num w:numId="3">
    <w:abstractNumId w:val="17"/>
  </w:num>
  <w:num w:numId="4">
    <w:abstractNumId w:val="18"/>
  </w:num>
  <w:num w:numId="5">
    <w:abstractNumId w:val="5"/>
  </w:num>
  <w:num w:numId="6">
    <w:abstractNumId w:val="14"/>
  </w:num>
  <w:num w:numId="7">
    <w:abstractNumId w:val="8"/>
  </w:num>
  <w:num w:numId="8">
    <w:abstractNumId w:val="2"/>
  </w:num>
  <w:num w:numId="9">
    <w:abstractNumId w:val="13"/>
  </w:num>
  <w:num w:numId="10">
    <w:abstractNumId w:val="10"/>
  </w:num>
  <w:num w:numId="11">
    <w:abstractNumId w:val="4"/>
  </w:num>
  <w:num w:numId="12">
    <w:abstractNumId w:val="0"/>
  </w:num>
  <w:num w:numId="13">
    <w:abstractNumId w:val="15"/>
  </w:num>
  <w:num w:numId="14">
    <w:abstractNumId w:val="6"/>
  </w:num>
  <w:num w:numId="15">
    <w:abstractNumId w:val="11"/>
  </w:num>
  <w:num w:numId="16">
    <w:abstractNumId w:val="9"/>
  </w:num>
  <w:num w:numId="17">
    <w:abstractNumId w:val="7"/>
  </w:num>
  <w:num w:numId="18">
    <w:abstractNumId w:val="1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90E"/>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C1"/>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2CA"/>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0C9"/>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392"/>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591"/>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0FD"/>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728"/>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EC9"/>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5F7A"/>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35E"/>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B0E"/>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4B0"/>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80D"/>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CB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0FE"/>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3C"/>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733"/>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17FF5"/>
    <w:rsid w:val="005206F6"/>
    <w:rsid w:val="00520DC0"/>
    <w:rsid w:val="00520E5B"/>
    <w:rsid w:val="00520EEB"/>
    <w:rsid w:val="005212D4"/>
    <w:rsid w:val="005218A6"/>
    <w:rsid w:val="00521939"/>
    <w:rsid w:val="00521CF4"/>
    <w:rsid w:val="00521F3C"/>
    <w:rsid w:val="00522118"/>
    <w:rsid w:val="005222A1"/>
    <w:rsid w:val="00522355"/>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441"/>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CCA"/>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446"/>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77E77"/>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4AB"/>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309"/>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64"/>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E72"/>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BE1"/>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523"/>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4FD"/>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2B1"/>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D7C"/>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68F"/>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B9D"/>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0F5D"/>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D39"/>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588"/>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A6E"/>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415"/>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446"/>
    <w:rsid w:val="009C7848"/>
    <w:rsid w:val="009C7869"/>
    <w:rsid w:val="009C7978"/>
    <w:rsid w:val="009C7A1C"/>
    <w:rsid w:val="009C7AC6"/>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5AD"/>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6A7"/>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EF"/>
    <w:rsid w:val="00A117F2"/>
    <w:rsid w:val="00A1193B"/>
    <w:rsid w:val="00A11A4D"/>
    <w:rsid w:val="00A120E6"/>
    <w:rsid w:val="00A12156"/>
    <w:rsid w:val="00A1262D"/>
    <w:rsid w:val="00A1286E"/>
    <w:rsid w:val="00A12900"/>
    <w:rsid w:val="00A12970"/>
    <w:rsid w:val="00A129B3"/>
    <w:rsid w:val="00A129ED"/>
    <w:rsid w:val="00A12AD9"/>
    <w:rsid w:val="00A12D76"/>
    <w:rsid w:val="00A12DF0"/>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910"/>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D5D"/>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5C7"/>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713"/>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5C6"/>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F5E"/>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6C3"/>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9FC"/>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9E6"/>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BFF"/>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AB"/>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D6B"/>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DD0"/>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E70"/>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1A4"/>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4DB4"/>
    <w:rsid w:val="00C852E7"/>
    <w:rsid w:val="00C853CE"/>
    <w:rsid w:val="00C855D5"/>
    <w:rsid w:val="00C856B7"/>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2E1D"/>
    <w:rsid w:val="00CB3754"/>
    <w:rsid w:val="00CB3755"/>
    <w:rsid w:val="00CB3857"/>
    <w:rsid w:val="00CB3E36"/>
    <w:rsid w:val="00CB3ED9"/>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EE6"/>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1D1"/>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176"/>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24C"/>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0888"/>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788"/>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43"/>
    <w:rsid w:val="00D82AF3"/>
    <w:rsid w:val="00D82C37"/>
    <w:rsid w:val="00D8367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65C9"/>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66F3"/>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D9B"/>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3BA"/>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48C"/>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2B5"/>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26"/>
    <w:rsid w:val="00E64655"/>
    <w:rsid w:val="00E646BA"/>
    <w:rsid w:val="00E64A84"/>
    <w:rsid w:val="00E64F79"/>
    <w:rsid w:val="00E654FE"/>
    <w:rsid w:val="00E656B8"/>
    <w:rsid w:val="00E65A1D"/>
    <w:rsid w:val="00E660F6"/>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BE6"/>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2A8"/>
    <w:rsid w:val="00E9352F"/>
    <w:rsid w:val="00E94597"/>
    <w:rsid w:val="00E949A0"/>
    <w:rsid w:val="00E94BF8"/>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B0A"/>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73A"/>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70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6E4B"/>
    <w:rsid w:val="00EF7070"/>
    <w:rsid w:val="00EF721D"/>
    <w:rsid w:val="00EF72C7"/>
    <w:rsid w:val="00EF75DE"/>
    <w:rsid w:val="00EF781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A8"/>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4EFA"/>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66"/>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27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148"/>
    <w:rsid w:val="00FF72B8"/>
    <w:rsid w:val="00FF7494"/>
    <w:rsid w:val="00FF78FC"/>
    <w:rsid w:val="010009C4"/>
    <w:rsid w:val="010D2358"/>
    <w:rsid w:val="010F6E0F"/>
    <w:rsid w:val="01120C0E"/>
    <w:rsid w:val="011871D5"/>
    <w:rsid w:val="011A1BF5"/>
    <w:rsid w:val="012A1556"/>
    <w:rsid w:val="01320FCD"/>
    <w:rsid w:val="013570C2"/>
    <w:rsid w:val="013B5978"/>
    <w:rsid w:val="013C1D68"/>
    <w:rsid w:val="015062DA"/>
    <w:rsid w:val="015A46A6"/>
    <w:rsid w:val="016300B5"/>
    <w:rsid w:val="01662491"/>
    <w:rsid w:val="01682F6B"/>
    <w:rsid w:val="016E6C87"/>
    <w:rsid w:val="01707AB4"/>
    <w:rsid w:val="0171781D"/>
    <w:rsid w:val="0177495C"/>
    <w:rsid w:val="017A3DB4"/>
    <w:rsid w:val="01813FBB"/>
    <w:rsid w:val="018B44AB"/>
    <w:rsid w:val="018D782F"/>
    <w:rsid w:val="0192264F"/>
    <w:rsid w:val="019A7CC7"/>
    <w:rsid w:val="019F2E30"/>
    <w:rsid w:val="01BD6C6E"/>
    <w:rsid w:val="01D7237F"/>
    <w:rsid w:val="01D81972"/>
    <w:rsid w:val="01DE59FF"/>
    <w:rsid w:val="01E12B9D"/>
    <w:rsid w:val="01EE6BAA"/>
    <w:rsid w:val="01FA2804"/>
    <w:rsid w:val="01FA62E3"/>
    <w:rsid w:val="0216784A"/>
    <w:rsid w:val="022C1944"/>
    <w:rsid w:val="022F720D"/>
    <w:rsid w:val="02491259"/>
    <w:rsid w:val="02532045"/>
    <w:rsid w:val="02616321"/>
    <w:rsid w:val="026925D3"/>
    <w:rsid w:val="028D59E1"/>
    <w:rsid w:val="029960A9"/>
    <w:rsid w:val="029A186A"/>
    <w:rsid w:val="02C302B7"/>
    <w:rsid w:val="02C56784"/>
    <w:rsid w:val="02D00EC0"/>
    <w:rsid w:val="02E60D3B"/>
    <w:rsid w:val="02EF343E"/>
    <w:rsid w:val="03054576"/>
    <w:rsid w:val="03127134"/>
    <w:rsid w:val="031473C6"/>
    <w:rsid w:val="031C6D11"/>
    <w:rsid w:val="031E6C44"/>
    <w:rsid w:val="0329074E"/>
    <w:rsid w:val="03315B7A"/>
    <w:rsid w:val="033B452F"/>
    <w:rsid w:val="03730DEA"/>
    <w:rsid w:val="03953628"/>
    <w:rsid w:val="03986F12"/>
    <w:rsid w:val="03A07E30"/>
    <w:rsid w:val="03AC676E"/>
    <w:rsid w:val="03B276FB"/>
    <w:rsid w:val="03B43C28"/>
    <w:rsid w:val="03B8718F"/>
    <w:rsid w:val="03CB49F2"/>
    <w:rsid w:val="03D17416"/>
    <w:rsid w:val="03F43AF7"/>
    <w:rsid w:val="04015689"/>
    <w:rsid w:val="040A4EDE"/>
    <w:rsid w:val="0419004C"/>
    <w:rsid w:val="041D3FE2"/>
    <w:rsid w:val="04286465"/>
    <w:rsid w:val="042A2B04"/>
    <w:rsid w:val="043263C3"/>
    <w:rsid w:val="04337706"/>
    <w:rsid w:val="04390BEA"/>
    <w:rsid w:val="043E6226"/>
    <w:rsid w:val="04586E3A"/>
    <w:rsid w:val="0473394C"/>
    <w:rsid w:val="04894079"/>
    <w:rsid w:val="048C1984"/>
    <w:rsid w:val="0496619D"/>
    <w:rsid w:val="04A6039C"/>
    <w:rsid w:val="04AC1FD3"/>
    <w:rsid w:val="04B14C72"/>
    <w:rsid w:val="04BB4640"/>
    <w:rsid w:val="04C4687F"/>
    <w:rsid w:val="04D81670"/>
    <w:rsid w:val="04D933F6"/>
    <w:rsid w:val="04E64155"/>
    <w:rsid w:val="0506621E"/>
    <w:rsid w:val="050C02AC"/>
    <w:rsid w:val="05124006"/>
    <w:rsid w:val="05125E25"/>
    <w:rsid w:val="052A3669"/>
    <w:rsid w:val="052A58BA"/>
    <w:rsid w:val="052D4799"/>
    <w:rsid w:val="053C2A79"/>
    <w:rsid w:val="05423113"/>
    <w:rsid w:val="055B3BD8"/>
    <w:rsid w:val="055E4EED"/>
    <w:rsid w:val="05767F14"/>
    <w:rsid w:val="0586147F"/>
    <w:rsid w:val="05AA1F6C"/>
    <w:rsid w:val="05B02FF3"/>
    <w:rsid w:val="05D9222B"/>
    <w:rsid w:val="05DD4351"/>
    <w:rsid w:val="05EB0F39"/>
    <w:rsid w:val="05F02835"/>
    <w:rsid w:val="060D41CC"/>
    <w:rsid w:val="0615495E"/>
    <w:rsid w:val="061D72AC"/>
    <w:rsid w:val="0628053D"/>
    <w:rsid w:val="063B1FB2"/>
    <w:rsid w:val="063D7168"/>
    <w:rsid w:val="06412B65"/>
    <w:rsid w:val="066E0C99"/>
    <w:rsid w:val="06780CAF"/>
    <w:rsid w:val="0687489A"/>
    <w:rsid w:val="069029D6"/>
    <w:rsid w:val="069076F3"/>
    <w:rsid w:val="069E15A4"/>
    <w:rsid w:val="06C1240E"/>
    <w:rsid w:val="06CD46D3"/>
    <w:rsid w:val="070457CB"/>
    <w:rsid w:val="070B418D"/>
    <w:rsid w:val="07394397"/>
    <w:rsid w:val="073A6ED9"/>
    <w:rsid w:val="07524DB9"/>
    <w:rsid w:val="07542980"/>
    <w:rsid w:val="075A0001"/>
    <w:rsid w:val="075F306C"/>
    <w:rsid w:val="076D221E"/>
    <w:rsid w:val="077B4514"/>
    <w:rsid w:val="07826101"/>
    <w:rsid w:val="078340F0"/>
    <w:rsid w:val="07877B44"/>
    <w:rsid w:val="07A824E2"/>
    <w:rsid w:val="07AA5AAC"/>
    <w:rsid w:val="07BD5A30"/>
    <w:rsid w:val="07E3549E"/>
    <w:rsid w:val="07EA3B43"/>
    <w:rsid w:val="07F27568"/>
    <w:rsid w:val="08003048"/>
    <w:rsid w:val="080C3728"/>
    <w:rsid w:val="08102AC1"/>
    <w:rsid w:val="08196810"/>
    <w:rsid w:val="08261D3A"/>
    <w:rsid w:val="083370AB"/>
    <w:rsid w:val="08420F01"/>
    <w:rsid w:val="08557BF6"/>
    <w:rsid w:val="086A13F0"/>
    <w:rsid w:val="08752A8C"/>
    <w:rsid w:val="087D58B3"/>
    <w:rsid w:val="087F625D"/>
    <w:rsid w:val="08865C24"/>
    <w:rsid w:val="08964DC5"/>
    <w:rsid w:val="08A2528B"/>
    <w:rsid w:val="08A3153C"/>
    <w:rsid w:val="08A75166"/>
    <w:rsid w:val="08A9159D"/>
    <w:rsid w:val="08B258BC"/>
    <w:rsid w:val="08C021BC"/>
    <w:rsid w:val="08C447CA"/>
    <w:rsid w:val="08C946BE"/>
    <w:rsid w:val="08CB22A4"/>
    <w:rsid w:val="08D14EE9"/>
    <w:rsid w:val="08D743C3"/>
    <w:rsid w:val="08EE0B0A"/>
    <w:rsid w:val="08F75BD4"/>
    <w:rsid w:val="09015C18"/>
    <w:rsid w:val="090E482E"/>
    <w:rsid w:val="0918116F"/>
    <w:rsid w:val="091D787D"/>
    <w:rsid w:val="091F196A"/>
    <w:rsid w:val="092B4C65"/>
    <w:rsid w:val="093817E0"/>
    <w:rsid w:val="0949202D"/>
    <w:rsid w:val="09680C3B"/>
    <w:rsid w:val="096B7466"/>
    <w:rsid w:val="097D51B6"/>
    <w:rsid w:val="09857722"/>
    <w:rsid w:val="099B2836"/>
    <w:rsid w:val="099D01B1"/>
    <w:rsid w:val="09A33EBD"/>
    <w:rsid w:val="09B86309"/>
    <w:rsid w:val="09C35B61"/>
    <w:rsid w:val="09CA0E56"/>
    <w:rsid w:val="09D01ECD"/>
    <w:rsid w:val="09D4039C"/>
    <w:rsid w:val="09D91BCE"/>
    <w:rsid w:val="0A0A6ACE"/>
    <w:rsid w:val="0A0B31E0"/>
    <w:rsid w:val="0A187D31"/>
    <w:rsid w:val="0A263157"/>
    <w:rsid w:val="0A3316C0"/>
    <w:rsid w:val="0A381C35"/>
    <w:rsid w:val="0A3E6B32"/>
    <w:rsid w:val="0A413A29"/>
    <w:rsid w:val="0A4B06E9"/>
    <w:rsid w:val="0A4F32E6"/>
    <w:rsid w:val="0A5A4256"/>
    <w:rsid w:val="0A5C0FFF"/>
    <w:rsid w:val="0A77017E"/>
    <w:rsid w:val="0A7873AC"/>
    <w:rsid w:val="0A7953CC"/>
    <w:rsid w:val="0A7A69AC"/>
    <w:rsid w:val="0A857CD7"/>
    <w:rsid w:val="0AAA49A3"/>
    <w:rsid w:val="0AB161C6"/>
    <w:rsid w:val="0AD26927"/>
    <w:rsid w:val="0AE27E4E"/>
    <w:rsid w:val="0AFA285E"/>
    <w:rsid w:val="0B0849F8"/>
    <w:rsid w:val="0B177134"/>
    <w:rsid w:val="0B2B580E"/>
    <w:rsid w:val="0B3120AE"/>
    <w:rsid w:val="0B327E4A"/>
    <w:rsid w:val="0B3A736D"/>
    <w:rsid w:val="0B6274D0"/>
    <w:rsid w:val="0B6958F9"/>
    <w:rsid w:val="0B73276A"/>
    <w:rsid w:val="0B7B05EA"/>
    <w:rsid w:val="0B99719D"/>
    <w:rsid w:val="0BAA4EBD"/>
    <w:rsid w:val="0BBE7E22"/>
    <w:rsid w:val="0BC51AD7"/>
    <w:rsid w:val="0BD35F34"/>
    <w:rsid w:val="0BE54882"/>
    <w:rsid w:val="0BF61FC1"/>
    <w:rsid w:val="0BFA3E12"/>
    <w:rsid w:val="0C0961F8"/>
    <w:rsid w:val="0C135E57"/>
    <w:rsid w:val="0C191309"/>
    <w:rsid w:val="0C277937"/>
    <w:rsid w:val="0C2C33C8"/>
    <w:rsid w:val="0C30207B"/>
    <w:rsid w:val="0C3F6660"/>
    <w:rsid w:val="0C457537"/>
    <w:rsid w:val="0C4A2826"/>
    <w:rsid w:val="0C4F022E"/>
    <w:rsid w:val="0C554EDE"/>
    <w:rsid w:val="0C582674"/>
    <w:rsid w:val="0C6D5969"/>
    <w:rsid w:val="0C7D3D85"/>
    <w:rsid w:val="0C7E0A49"/>
    <w:rsid w:val="0C800CF5"/>
    <w:rsid w:val="0C823E82"/>
    <w:rsid w:val="0C8C32DD"/>
    <w:rsid w:val="0C8F5033"/>
    <w:rsid w:val="0C9B0795"/>
    <w:rsid w:val="0CA06B2F"/>
    <w:rsid w:val="0CAB0EDC"/>
    <w:rsid w:val="0CB1691B"/>
    <w:rsid w:val="0CB25808"/>
    <w:rsid w:val="0CB341D5"/>
    <w:rsid w:val="0CBA3745"/>
    <w:rsid w:val="0CBA7DED"/>
    <w:rsid w:val="0CBB1DE6"/>
    <w:rsid w:val="0CC14514"/>
    <w:rsid w:val="0CD5390E"/>
    <w:rsid w:val="0CE71306"/>
    <w:rsid w:val="0CF527D7"/>
    <w:rsid w:val="0D0D439B"/>
    <w:rsid w:val="0D0D6AA6"/>
    <w:rsid w:val="0D1103F3"/>
    <w:rsid w:val="0D1D57EE"/>
    <w:rsid w:val="0D205203"/>
    <w:rsid w:val="0D3002C1"/>
    <w:rsid w:val="0D335038"/>
    <w:rsid w:val="0D4426CF"/>
    <w:rsid w:val="0D515B04"/>
    <w:rsid w:val="0D5A4DEB"/>
    <w:rsid w:val="0D627EE1"/>
    <w:rsid w:val="0D6C2A71"/>
    <w:rsid w:val="0D7809DB"/>
    <w:rsid w:val="0D7F1B2D"/>
    <w:rsid w:val="0D8144CE"/>
    <w:rsid w:val="0D8568DD"/>
    <w:rsid w:val="0D89475B"/>
    <w:rsid w:val="0D9076EF"/>
    <w:rsid w:val="0D97405F"/>
    <w:rsid w:val="0D9A6309"/>
    <w:rsid w:val="0D9F3598"/>
    <w:rsid w:val="0DAD50AB"/>
    <w:rsid w:val="0DAE70B8"/>
    <w:rsid w:val="0DC745DF"/>
    <w:rsid w:val="0DE02F82"/>
    <w:rsid w:val="0DE53E77"/>
    <w:rsid w:val="0DE6784E"/>
    <w:rsid w:val="0DE87E04"/>
    <w:rsid w:val="0E1512E0"/>
    <w:rsid w:val="0E1C0F16"/>
    <w:rsid w:val="0E377915"/>
    <w:rsid w:val="0E3B2F2A"/>
    <w:rsid w:val="0E3E0A68"/>
    <w:rsid w:val="0E446EC5"/>
    <w:rsid w:val="0E49705B"/>
    <w:rsid w:val="0E4E679F"/>
    <w:rsid w:val="0E5B273B"/>
    <w:rsid w:val="0E7A5502"/>
    <w:rsid w:val="0E8A5A8B"/>
    <w:rsid w:val="0EA737B6"/>
    <w:rsid w:val="0EAF5292"/>
    <w:rsid w:val="0EB679B8"/>
    <w:rsid w:val="0EC36F63"/>
    <w:rsid w:val="0EE54B84"/>
    <w:rsid w:val="0EE6751E"/>
    <w:rsid w:val="0EF96CBB"/>
    <w:rsid w:val="0EFE0E93"/>
    <w:rsid w:val="0F0016BF"/>
    <w:rsid w:val="0F1D4FD8"/>
    <w:rsid w:val="0F2072A8"/>
    <w:rsid w:val="0F246B76"/>
    <w:rsid w:val="0F456830"/>
    <w:rsid w:val="0F502674"/>
    <w:rsid w:val="0F6013A0"/>
    <w:rsid w:val="0F642421"/>
    <w:rsid w:val="0F646A9C"/>
    <w:rsid w:val="0F657CB3"/>
    <w:rsid w:val="0F67357C"/>
    <w:rsid w:val="0F6F1533"/>
    <w:rsid w:val="0F750C54"/>
    <w:rsid w:val="0F862151"/>
    <w:rsid w:val="0F8C3306"/>
    <w:rsid w:val="0F8D0B4E"/>
    <w:rsid w:val="0FA40D7C"/>
    <w:rsid w:val="0FAB795B"/>
    <w:rsid w:val="0FAC31FE"/>
    <w:rsid w:val="0FAC5666"/>
    <w:rsid w:val="0FBB42A5"/>
    <w:rsid w:val="0FBD0C00"/>
    <w:rsid w:val="0FC02A74"/>
    <w:rsid w:val="0FC229BA"/>
    <w:rsid w:val="0FCA7B56"/>
    <w:rsid w:val="0FD20A21"/>
    <w:rsid w:val="0FF21B9D"/>
    <w:rsid w:val="0FFE3BEB"/>
    <w:rsid w:val="10063E75"/>
    <w:rsid w:val="100D6CF2"/>
    <w:rsid w:val="10132358"/>
    <w:rsid w:val="10401BDC"/>
    <w:rsid w:val="10417975"/>
    <w:rsid w:val="104765BC"/>
    <w:rsid w:val="104E188D"/>
    <w:rsid w:val="105716D3"/>
    <w:rsid w:val="10587490"/>
    <w:rsid w:val="106311FB"/>
    <w:rsid w:val="106A51A0"/>
    <w:rsid w:val="10717ABD"/>
    <w:rsid w:val="10797EF4"/>
    <w:rsid w:val="107B6160"/>
    <w:rsid w:val="109A5144"/>
    <w:rsid w:val="109E5330"/>
    <w:rsid w:val="10A15189"/>
    <w:rsid w:val="10D00A21"/>
    <w:rsid w:val="10DF7AB1"/>
    <w:rsid w:val="10EB600B"/>
    <w:rsid w:val="11087069"/>
    <w:rsid w:val="110B6CC7"/>
    <w:rsid w:val="11272C1C"/>
    <w:rsid w:val="1133337F"/>
    <w:rsid w:val="11362E5F"/>
    <w:rsid w:val="11375CD9"/>
    <w:rsid w:val="1145739D"/>
    <w:rsid w:val="11627387"/>
    <w:rsid w:val="116327EE"/>
    <w:rsid w:val="116579FF"/>
    <w:rsid w:val="116D7511"/>
    <w:rsid w:val="11735BB0"/>
    <w:rsid w:val="11843A23"/>
    <w:rsid w:val="11887CEB"/>
    <w:rsid w:val="118A36B2"/>
    <w:rsid w:val="118B3B82"/>
    <w:rsid w:val="118D4108"/>
    <w:rsid w:val="119341A7"/>
    <w:rsid w:val="1193746D"/>
    <w:rsid w:val="119C140B"/>
    <w:rsid w:val="119D5EC6"/>
    <w:rsid w:val="11A35527"/>
    <w:rsid w:val="11B0379F"/>
    <w:rsid w:val="11BB4CD7"/>
    <w:rsid w:val="11DA7C8F"/>
    <w:rsid w:val="11DB123B"/>
    <w:rsid w:val="11E075CC"/>
    <w:rsid w:val="11E41EB4"/>
    <w:rsid w:val="11E9576A"/>
    <w:rsid w:val="11F5568A"/>
    <w:rsid w:val="11F92029"/>
    <w:rsid w:val="11FD360D"/>
    <w:rsid w:val="12137E52"/>
    <w:rsid w:val="12172F68"/>
    <w:rsid w:val="1218437A"/>
    <w:rsid w:val="121B79E6"/>
    <w:rsid w:val="121D163A"/>
    <w:rsid w:val="12337389"/>
    <w:rsid w:val="123415F1"/>
    <w:rsid w:val="123C7C49"/>
    <w:rsid w:val="12445666"/>
    <w:rsid w:val="12516E7E"/>
    <w:rsid w:val="125C4B32"/>
    <w:rsid w:val="12642445"/>
    <w:rsid w:val="12645151"/>
    <w:rsid w:val="126573FA"/>
    <w:rsid w:val="12864CC4"/>
    <w:rsid w:val="1287171E"/>
    <w:rsid w:val="12961EF7"/>
    <w:rsid w:val="12C067E0"/>
    <w:rsid w:val="12CE43E6"/>
    <w:rsid w:val="12D95E15"/>
    <w:rsid w:val="12E95BFD"/>
    <w:rsid w:val="12EB637E"/>
    <w:rsid w:val="12EC6187"/>
    <w:rsid w:val="1301625F"/>
    <w:rsid w:val="13034482"/>
    <w:rsid w:val="13060A3F"/>
    <w:rsid w:val="130D1791"/>
    <w:rsid w:val="132564CF"/>
    <w:rsid w:val="132F4DB4"/>
    <w:rsid w:val="134555A5"/>
    <w:rsid w:val="13527027"/>
    <w:rsid w:val="135B5EA0"/>
    <w:rsid w:val="1373338E"/>
    <w:rsid w:val="13747DEB"/>
    <w:rsid w:val="13790579"/>
    <w:rsid w:val="13837C63"/>
    <w:rsid w:val="13943BD0"/>
    <w:rsid w:val="139512B9"/>
    <w:rsid w:val="139E4B27"/>
    <w:rsid w:val="13A32609"/>
    <w:rsid w:val="13A400C2"/>
    <w:rsid w:val="13D4682E"/>
    <w:rsid w:val="13D96222"/>
    <w:rsid w:val="13F6431A"/>
    <w:rsid w:val="142649FF"/>
    <w:rsid w:val="14331F82"/>
    <w:rsid w:val="143F6AFF"/>
    <w:rsid w:val="144476CF"/>
    <w:rsid w:val="14584883"/>
    <w:rsid w:val="145A0EB8"/>
    <w:rsid w:val="146969DD"/>
    <w:rsid w:val="14713184"/>
    <w:rsid w:val="1473630F"/>
    <w:rsid w:val="14775AE1"/>
    <w:rsid w:val="1478410F"/>
    <w:rsid w:val="14A51936"/>
    <w:rsid w:val="14A86E28"/>
    <w:rsid w:val="14B72A60"/>
    <w:rsid w:val="14CE2E6F"/>
    <w:rsid w:val="14D2198E"/>
    <w:rsid w:val="14FB3549"/>
    <w:rsid w:val="150B566B"/>
    <w:rsid w:val="150F648E"/>
    <w:rsid w:val="1516034F"/>
    <w:rsid w:val="151D35D2"/>
    <w:rsid w:val="151F4581"/>
    <w:rsid w:val="152A3B58"/>
    <w:rsid w:val="152F2001"/>
    <w:rsid w:val="153C7D33"/>
    <w:rsid w:val="154E3A24"/>
    <w:rsid w:val="1552675B"/>
    <w:rsid w:val="1558598F"/>
    <w:rsid w:val="15591336"/>
    <w:rsid w:val="155E5500"/>
    <w:rsid w:val="156655FD"/>
    <w:rsid w:val="156A303C"/>
    <w:rsid w:val="1582789D"/>
    <w:rsid w:val="159D572E"/>
    <w:rsid w:val="159F4645"/>
    <w:rsid w:val="15B61052"/>
    <w:rsid w:val="15C95E48"/>
    <w:rsid w:val="15CA1053"/>
    <w:rsid w:val="15CF58E5"/>
    <w:rsid w:val="15D17442"/>
    <w:rsid w:val="15E92532"/>
    <w:rsid w:val="15F62CC1"/>
    <w:rsid w:val="15FA4ED8"/>
    <w:rsid w:val="16246E3F"/>
    <w:rsid w:val="16273976"/>
    <w:rsid w:val="16385D54"/>
    <w:rsid w:val="163B773E"/>
    <w:rsid w:val="163B7D7F"/>
    <w:rsid w:val="16416A38"/>
    <w:rsid w:val="16561820"/>
    <w:rsid w:val="165E5402"/>
    <w:rsid w:val="1667461C"/>
    <w:rsid w:val="16696E71"/>
    <w:rsid w:val="167026DE"/>
    <w:rsid w:val="1670292F"/>
    <w:rsid w:val="168C7025"/>
    <w:rsid w:val="16957217"/>
    <w:rsid w:val="16C7196B"/>
    <w:rsid w:val="16D43050"/>
    <w:rsid w:val="16DD0035"/>
    <w:rsid w:val="171E1824"/>
    <w:rsid w:val="17295839"/>
    <w:rsid w:val="172F3838"/>
    <w:rsid w:val="17452562"/>
    <w:rsid w:val="174B5EF9"/>
    <w:rsid w:val="17626567"/>
    <w:rsid w:val="1763218E"/>
    <w:rsid w:val="17654F26"/>
    <w:rsid w:val="176808CF"/>
    <w:rsid w:val="176E475F"/>
    <w:rsid w:val="177166A2"/>
    <w:rsid w:val="177247DC"/>
    <w:rsid w:val="1786367E"/>
    <w:rsid w:val="17872851"/>
    <w:rsid w:val="178E7DD2"/>
    <w:rsid w:val="179976EF"/>
    <w:rsid w:val="17AE317B"/>
    <w:rsid w:val="17D82B77"/>
    <w:rsid w:val="17F17D7F"/>
    <w:rsid w:val="181E2C4E"/>
    <w:rsid w:val="181E74B9"/>
    <w:rsid w:val="182948CB"/>
    <w:rsid w:val="18321DF7"/>
    <w:rsid w:val="1835537B"/>
    <w:rsid w:val="18374DD2"/>
    <w:rsid w:val="183D1003"/>
    <w:rsid w:val="184825A1"/>
    <w:rsid w:val="185C74BC"/>
    <w:rsid w:val="18695956"/>
    <w:rsid w:val="186D0CFA"/>
    <w:rsid w:val="186D7CCB"/>
    <w:rsid w:val="187641F2"/>
    <w:rsid w:val="18845E60"/>
    <w:rsid w:val="188F13DE"/>
    <w:rsid w:val="18A05BE6"/>
    <w:rsid w:val="18B54546"/>
    <w:rsid w:val="18B9514C"/>
    <w:rsid w:val="18C06574"/>
    <w:rsid w:val="18C06CE0"/>
    <w:rsid w:val="18D90FC7"/>
    <w:rsid w:val="18E7549C"/>
    <w:rsid w:val="18F572F2"/>
    <w:rsid w:val="19007238"/>
    <w:rsid w:val="19144AB5"/>
    <w:rsid w:val="19216813"/>
    <w:rsid w:val="19263C07"/>
    <w:rsid w:val="19357A2F"/>
    <w:rsid w:val="19415125"/>
    <w:rsid w:val="1951406A"/>
    <w:rsid w:val="19542AAF"/>
    <w:rsid w:val="197818F6"/>
    <w:rsid w:val="197D6E1D"/>
    <w:rsid w:val="19881702"/>
    <w:rsid w:val="198A71B4"/>
    <w:rsid w:val="1999369E"/>
    <w:rsid w:val="199C197F"/>
    <w:rsid w:val="19A31C0E"/>
    <w:rsid w:val="19AE48BA"/>
    <w:rsid w:val="19D230B6"/>
    <w:rsid w:val="19E466A5"/>
    <w:rsid w:val="19E5352D"/>
    <w:rsid w:val="19E8351E"/>
    <w:rsid w:val="19F56342"/>
    <w:rsid w:val="1A0261BE"/>
    <w:rsid w:val="1A0C393D"/>
    <w:rsid w:val="1A1660A5"/>
    <w:rsid w:val="1A502F26"/>
    <w:rsid w:val="1A665379"/>
    <w:rsid w:val="1A6A6969"/>
    <w:rsid w:val="1A7D3F87"/>
    <w:rsid w:val="1A7F7E92"/>
    <w:rsid w:val="1A841DF0"/>
    <w:rsid w:val="1A8E1E38"/>
    <w:rsid w:val="1AAE17A1"/>
    <w:rsid w:val="1AAF5FC4"/>
    <w:rsid w:val="1AB8200C"/>
    <w:rsid w:val="1AC41628"/>
    <w:rsid w:val="1ACE3FB0"/>
    <w:rsid w:val="1ADE18B1"/>
    <w:rsid w:val="1AE462B2"/>
    <w:rsid w:val="1AEB72A2"/>
    <w:rsid w:val="1AEF773E"/>
    <w:rsid w:val="1AF574B7"/>
    <w:rsid w:val="1B0840ED"/>
    <w:rsid w:val="1B091337"/>
    <w:rsid w:val="1B0C26CA"/>
    <w:rsid w:val="1B1658DE"/>
    <w:rsid w:val="1B1D48F1"/>
    <w:rsid w:val="1B32156F"/>
    <w:rsid w:val="1B3A29F1"/>
    <w:rsid w:val="1B5B62AC"/>
    <w:rsid w:val="1B5D4A18"/>
    <w:rsid w:val="1B6D6F8F"/>
    <w:rsid w:val="1B6E6419"/>
    <w:rsid w:val="1B8A1271"/>
    <w:rsid w:val="1B95724D"/>
    <w:rsid w:val="1BA0668A"/>
    <w:rsid w:val="1BB85B6E"/>
    <w:rsid w:val="1BC579E8"/>
    <w:rsid w:val="1BD45FD4"/>
    <w:rsid w:val="1BDA2DAD"/>
    <w:rsid w:val="1BDC76FB"/>
    <w:rsid w:val="1BE87276"/>
    <w:rsid w:val="1BF0277F"/>
    <w:rsid w:val="1BF867C3"/>
    <w:rsid w:val="1C1E0527"/>
    <w:rsid w:val="1C2C54DC"/>
    <w:rsid w:val="1C3D50A3"/>
    <w:rsid w:val="1C3D5F1B"/>
    <w:rsid w:val="1C4D1B15"/>
    <w:rsid w:val="1C4E1A7C"/>
    <w:rsid w:val="1C552751"/>
    <w:rsid w:val="1C5A6120"/>
    <w:rsid w:val="1C6149F5"/>
    <w:rsid w:val="1C6669F1"/>
    <w:rsid w:val="1C681A07"/>
    <w:rsid w:val="1C6A476D"/>
    <w:rsid w:val="1C787710"/>
    <w:rsid w:val="1C7D0A9D"/>
    <w:rsid w:val="1C90218A"/>
    <w:rsid w:val="1C987040"/>
    <w:rsid w:val="1C9A5EA0"/>
    <w:rsid w:val="1C9D42D6"/>
    <w:rsid w:val="1C9F198C"/>
    <w:rsid w:val="1CAF086B"/>
    <w:rsid w:val="1CB34AFC"/>
    <w:rsid w:val="1CBA4ABD"/>
    <w:rsid w:val="1CBA6EDE"/>
    <w:rsid w:val="1CBB7CFB"/>
    <w:rsid w:val="1CBF7BCD"/>
    <w:rsid w:val="1CC32596"/>
    <w:rsid w:val="1CF26E04"/>
    <w:rsid w:val="1D0C2964"/>
    <w:rsid w:val="1D255E26"/>
    <w:rsid w:val="1D2768F8"/>
    <w:rsid w:val="1D3739FF"/>
    <w:rsid w:val="1D4A24BE"/>
    <w:rsid w:val="1D4D4EDE"/>
    <w:rsid w:val="1D4E2320"/>
    <w:rsid w:val="1D7417DC"/>
    <w:rsid w:val="1D7612EE"/>
    <w:rsid w:val="1D7B3111"/>
    <w:rsid w:val="1D850570"/>
    <w:rsid w:val="1D8E7CDB"/>
    <w:rsid w:val="1DA032A8"/>
    <w:rsid w:val="1DB47BA2"/>
    <w:rsid w:val="1DB84635"/>
    <w:rsid w:val="1DBE5336"/>
    <w:rsid w:val="1DC11A56"/>
    <w:rsid w:val="1DD108D2"/>
    <w:rsid w:val="1DDF40AA"/>
    <w:rsid w:val="1DEA7E67"/>
    <w:rsid w:val="1DF965A5"/>
    <w:rsid w:val="1E151102"/>
    <w:rsid w:val="1E1A06DC"/>
    <w:rsid w:val="1E1F6BAC"/>
    <w:rsid w:val="1E275E37"/>
    <w:rsid w:val="1E2D55D0"/>
    <w:rsid w:val="1E32288F"/>
    <w:rsid w:val="1E384610"/>
    <w:rsid w:val="1E3C35CE"/>
    <w:rsid w:val="1E457CA8"/>
    <w:rsid w:val="1E465599"/>
    <w:rsid w:val="1E4A1897"/>
    <w:rsid w:val="1E686A68"/>
    <w:rsid w:val="1E6B7F97"/>
    <w:rsid w:val="1E72439D"/>
    <w:rsid w:val="1E8038B8"/>
    <w:rsid w:val="1E842204"/>
    <w:rsid w:val="1E87481F"/>
    <w:rsid w:val="1E9E3828"/>
    <w:rsid w:val="1EA4453E"/>
    <w:rsid w:val="1EB77230"/>
    <w:rsid w:val="1EBC2E6A"/>
    <w:rsid w:val="1EBF446A"/>
    <w:rsid w:val="1EC774DB"/>
    <w:rsid w:val="1ED209C4"/>
    <w:rsid w:val="1ED804AE"/>
    <w:rsid w:val="1EDF7695"/>
    <w:rsid w:val="1EE07F21"/>
    <w:rsid w:val="1EE5361D"/>
    <w:rsid w:val="1EFA5C4A"/>
    <w:rsid w:val="1EFC6946"/>
    <w:rsid w:val="1F0104FE"/>
    <w:rsid w:val="1F152E98"/>
    <w:rsid w:val="1F1B0FAD"/>
    <w:rsid w:val="1F245DC0"/>
    <w:rsid w:val="1F37447B"/>
    <w:rsid w:val="1F4A1DF4"/>
    <w:rsid w:val="1F507E1F"/>
    <w:rsid w:val="1F650DAA"/>
    <w:rsid w:val="1F6828E1"/>
    <w:rsid w:val="1F78481F"/>
    <w:rsid w:val="1F7F7D85"/>
    <w:rsid w:val="1F9C3004"/>
    <w:rsid w:val="1F9D26B1"/>
    <w:rsid w:val="1FA27229"/>
    <w:rsid w:val="1FA52260"/>
    <w:rsid w:val="1FA77E30"/>
    <w:rsid w:val="1FA930F6"/>
    <w:rsid w:val="1FAA1CE4"/>
    <w:rsid w:val="1FB30C6F"/>
    <w:rsid w:val="1FBD3723"/>
    <w:rsid w:val="1FBD3BE7"/>
    <w:rsid w:val="1FC91652"/>
    <w:rsid w:val="1FCE547D"/>
    <w:rsid w:val="1FCF08E6"/>
    <w:rsid w:val="1FD0287B"/>
    <w:rsid w:val="1FE5486A"/>
    <w:rsid w:val="1FE777B7"/>
    <w:rsid w:val="1FF0487F"/>
    <w:rsid w:val="1FF37900"/>
    <w:rsid w:val="20051E80"/>
    <w:rsid w:val="20096A61"/>
    <w:rsid w:val="200A7A2C"/>
    <w:rsid w:val="201B38CB"/>
    <w:rsid w:val="20200A7E"/>
    <w:rsid w:val="20204CB7"/>
    <w:rsid w:val="202A1715"/>
    <w:rsid w:val="202B0944"/>
    <w:rsid w:val="202E5628"/>
    <w:rsid w:val="20377CB1"/>
    <w:rsid w:val="203F6F2B"/>
    <w:rsid w:val="20450A76"/>
    <w:rsid w:val="20455F9C"/>
    <w:rsid w:val="20523D43"/>
    <w:rsid w:val="205662A4"/>
    <w:rsid w:val="2057311C"/>
    <w:rsid w:val="20707DFA"/>
    <w:rsid w:val="20776B42"/>
    <w:rsid w:val="20906468"/>
    <w:rsid w:val="20AB2584"/>
    <w:rsid w:val="20AF7C04"/>
    <w:rsid w:val="20B065C9"/>
    <w:rsid w:val="20B63EC6"/>
    <w:rsid w:val="20C516AA"/>
    <w:rsid w:val="20C60424"/>
    <w:rsid w:val="20D75D3B"/>
    <w:rsid w:val="20E14445"/>
    <w:rsid w:val="20E43EAD"/>
    <w:rsid w:val="20EB09A5"/>
    <w:rsid w:val="20ED325F"/>
    <w:rsid w:val="2109781C"/>
    <w:rsid w:val="2111331C"/>
    <w:rsid w:val="21286B61"/>
    <w:rsid w:val="213F59D5"/>
    <w:rsid w:val="214315D0"/>
    <w:rsid w:val="21482FD2"/>
    <w:rsid w:val="21686848"/>
    <w:rsid w:val="217144ED"/>
    <w:rsid w:val="218B5863"/>
    <w:rsid w:val="218C2BB2"/>
    <w:rsid w:val="219F117F"/>
    <w:rsid w:val="21A1056E"/>
    <w:rsid w:val="21BD747B"/>
    <w:rsid w:val="21C26051"/>
    <w:rsid w:val="21CC6790"/>
    <w:rsid w:val="21D24B73"/>
    <w:rsid w:val="21DD767E"/>
    <w:rsid w:val="220D16C6"/>
    <w:rsid w:val="220D42EB"/>
    <w:rsid w:val="220F0C18"/>
    <w:rsid w:val="2214056A"/>
    <w:rsid w:val="22187123"/>
    <w:rsid w:val="223076DC"/>
    <w:rsid w:val="22346E7C"/>
    <w:rsid w:val="225C0BB2"/>
    <w:rsid w:val="225C4305"/>
    <w:rsid w:val="22885598"/>
    <w:rsid w:val="22885F90"/>
    <w:rsid w:val="22B753BA"/>
    <w:rsid w:val="22BC7DD7"/>
    <w:rsid w:val="22C76155"/>
    <w:rsid w:val="22CB7787"/>
    <w:rsid w:val="22F14E46"/>
    <w:rsid w:val="22F90BA0"/>
    <w:rsid w:val="22F93704"/>
    <w:rsid w:val="22FC19FA"/>
    <w:rsid w:val="22FD6410"/>
    <w:rsid w:val="23016867"/>
    <w:rsid w:val="230A56C2"/>
    <w:rsid w:val="231C370E"/>
    <w:rsid w:val="23431B2D"/>
    <w:rsid w:val="23480F73"/>
    <w:rsid w:val="23553BF5"/>
    <w:rsid w:val="23556719"/>
    <w:rsid w:val="235C6F25"/>
    <w:rsid w:val="23605754"/>
    <w:rsid w:val="236231A3"/>
    <w:rsid w:val="238D4B75"/>
    <w:rsid w:val="23912359"/>
    <w:rsid w:val="23A071DE"/>
    <w:rsid w:val="23A20913"/>
    <w:rsid w:val="23B115B1"/>
    <w:rsid w:val="23B13D6C"/>
    <w:rsid w:val="23B46598"/>
    <w:rsid w:val="23B700B7"/>
    <w:rsid w:val="23CD5050"/>
    <w:rsid w:val="23DF5E36"/>
    <w:rsid w:val="23E94860"/>
    <w:rsid w:val="23F11EA2"/>
    <w:rsid w:val="241D4BAB"/>
    <w:rsid w:val="24284A66"/>
    <w:rsid w:val="242B3ABD"/>
    <w:rsid w:val="243B547C"/>
    <w:rsid w:val="2441777C"/>
    <w:rsid w:val="2445694D"/>
    <w:rsid w:val="245A6A93"/>
    <w:rsid w:val="24867A35"/>
    <w:rsid w:val="24926386"/>
    <w:rsid w:val="249333DB"/>
    <w:rsid w:val="24947C74"/>
    <w:rsid w:val="24B17AC1"/>
    <w:rsid w:val="24BB4ABC"/>
    <w:rsid w:val="24C27DB6"/>
    <w:rsid w:val="24C731B0"/>
    <w:rsid w:val="24CA31BE"/>
    <w:rsid w:val="24CB4471"/>
    <w:rsid w:val="24CE3429"/>
    <w:rsid w:val="24D66B6D"/>
    <w:rsid w:val="24DA04EB"/>
    <w:rsid w:val="24DE191A"/>
    <w:rsid w:val="24DF5796"/>
    <w:rsid w:val="24ED60C2"/>
    <w:rsid w:val="24FA07DE"/>
    <w:rsid w:val="24FE38AC"/>
    <w:rsid w:val="25006528"/>
    <w:rsid w:val="25030D71"/>
    <w:rsid w:val="2516672A"/>
    <w:rsid w:val="251A75A6"/>
    <w:rsid w:val="25237D1E"/>
    <w:rsid w:val="253E66AE"/>
    <w:rsid w:val="25486486"/>
    <w:rsid w:val="254B11E9"/>
    <w:rsid w:val="254B61D7"/>
    <w:rsid w:val="255514A1"/>
    <w:rsid w:val="25571FCA"/>
    <w:rsid w:val="256235E9"/>
    <w:rsid w:val="256912C5"/>
    <w:rsid w:val="256F52C1"/>
    <w:rsid w:val="257218DC"/>
    <w:rsid w:val="257442FD"/>
    <w:rsid w:val="257B6D9F"/>
    <w:rsid w:val="258B7A1A"/>
    <w:rsid w:val="258D403D"/>
    <w:rsid w:val="25A256D8"/>
    <w:rsid w:val="25A534F7"/>
    <w:rsid w:val="25CD617B"/>
    <w:rsid w:val="25D31892"/>
    <w:rsid w:val="25DE79F2"/>
    <w:rsid w:val="25EA7A85"/>
    <w:rsid w:val="25EF16D6"/>
    <w:rsid w:val="25FB1A96"/>
    <w:rsid w:val="26180793"/>
    <w:rsid w:val="261A1C4C"/>
    <w:rsid w:val="263B37A1"/>
    <w:rsid w:val="264175C3"/>
    <w:rsid w:val="265E0639"/>
    <w:rsid w:val="266C3197"/>
    <w:rsid w:val="26796197"/>
    <w:rsid w:val="267D4A70"/>
    <w:rsid w:val="26991ECE"/>
    <w:rsid w:val="269E3262"/>
    <w:rsid w:val="26A04981"/>
    <w:rsid w:val="26B5734F"/>
    <w:rsid w:val="26BF09E3"/>
    <w:rsid w:val="26BF4D57"/>
    <w:rsid w:val="26C50384"/>
    <w:rsid w:val="26CC09BB"/>
    <w:rsid w:val="26DA48C3"/>
    <w:rsid w:val="26E3183D"/>
    <w:rsid w:val="26ED2E1C"/>
    <w:rsid w:val="26EF6891"/>
    <w:rsid w:val="26F31F2E"/>
    <w:rsid w:val="26F3482E"/>
    <w:rsid w:val="26F618B3"/>
    <w:rsid w:val="270F39D5"/>
    <w:rsid w:val="2710295D"/>
    <w:rsid w:val="27204CF3"/>
    <w:rsid w:val="273A48D4"/>
    <w:rsid w:val="275314D4"/>
    <w:rsid w:val="275468E7"/>
    <w:rsid w:val="275B3E48"/>
    <w:rsid w:val="275E3851"/>
    <w:rsid w:val="276F5B31"/>
    <w:rsid w:val="27724768"/>
    <w:rsid w:val="2786663F"/>
    <w:rsid w:val="27881264"/>
    <w:rsid w:val="278F7344"/>
    <w:rsid w:val="27A56FE7"/>
    <w:rsid w:val="27A63B43"/>
    <w:rsid w:val="27B07EAD"/>
    <w:rsid w:val="27CF5F28"/>
    <w:rsid w:val="27D90390"/>
    <w:rsid w:val="27E16E16"/>
    <w:rsid w:val="27EA2813"/>
    <w:rsid w:val="27F32F3B"/>
    <w:rsid w:val="27FC77E2"/>
    <w:rsid w:val="280912BC"/>
    <w:rsid w:val="280D433A"/>
    <w:rsid w:val="281337F1"/>
    <w:rsid w:val="28264BB6"/>
    <w:rsid w:val="282779EC"/>
    <w:rsid w:val="283E14E7"/>
    <w:rsid w:val="28415348"/>
    <w:rsid w:val="28461D41"/>
    <w:rsid w:val="284C1C82"/>
    <w:rsid w:val="285537AA"/>
    <w:rsid w:val="285B5B3B"/>
    <w:rsid w:val="285D13A9"/>
    <w:rsid w:val="28853ADB"/>
    <w:rsid w:val="28927674"/>
    <w:rsid w:val="28954C31"/>
    <w:rsid w:val="28955F05"/>
    <w:rsid w:val="28D41273"/>
    <w:rsid w:val="28D77320"/>
    <w:rsid w:val="28DB7388"/>
    <w:rsid w:val="28DD0DEE"/>
    <w:rsid w:val="28E77061"/>
    <w:rsid w:val="28EC702A"/>
    <w:rsid w:val="2904641B"/>
    <w:rsid w:val="290C442F"/>
    <w:rsid w:val="29123783"/>
    <w:rsid w:val="29250B4C"/>
    <w:rsid w:val="292B3D7F"/>
    <w:rsid w:val="29752D54"/>
    <w:rsid w:val="29805CC9"/>
    <w:rsid w:val="299F2A32"/>
    <w:rsid w:val="29A86CB8"/>
    <w:rsid w:val="29B1183E"/>
    <w:rsid w:val="29C84AFE"/>
    <w:rsid w:val="29C87BF3"/>
    <w:rsid w:val="29DC650B"/>
    <w:rsid w:val="29E265E8"/>
    <w:rsid w:val="29F87C44"/>
    <w:rsid w:val="29F948D5"/>
    <w:rsid w:val="2A0277AA"/>
    <w:rsid w:val="2A197F51"/>
    <w:rsid w:val="2A1D6676"/>
    <w:rsid w:val="2A1F404C"/>
    <w:rsid w:val="2A21231E"/>
    <w:rsid w:val="2A282CD4"/>
    <w:rsid w:val="2A433633"/>
    <w:rsid w:val="2A4962F5"/>
    <w:rsid w:val="2A514DB1"/>
    <w:rsid w:val="2A541FD5"/>
    <w:rsid w:val="2A5916B9"/>
    <w:rsid w:val="2A7E454E"/>
    <w:rsid w:val="2A84784D"/>
    <w:rsid w:val="2A894EAD"/>
    <w:rsid w:val="2A8A7AF6"/>
    <w:rsid w:val="2AA10149"/>
    <w:rsid w:val="2AA20801"/>
    <w:rsid w:val="2AB4270F"/>
    <w:rsid w:val="2AB568B4"/>
    <w:rsid w:val="2AB82B1A"/>
    <w:rsid w:val="2AB82E8F"/>
    <w:rsid w:val="2AB87157"/>
    <w:rsid w:val="2ACD2201"/>
    <w:rsid w:val="2AD22A92"/>
    <w:rsid w:val="2AE0576F"/>
    <w:rsid w:val="2AE278D5"/>
    <w:rsid w:val="2AE61418"/>
    <w:rsid w:val="2AEA5DCE"/>
    <w:rsid w:val="2AEE7454"/>
    <w:rsid w:val="2AF6268F"/>
    <w:rsid w:val="2B0036C7"/>
    <w:rsid w:val="2B181E15"/>
    <w:rsid w:val="2B2C49F8"/>
    <w:rsid w:val="2B2E0352"/>
    <w:rsid w:val="2B3C0C19"/>
    <w:rsid w:val="2B4405E0"/>
    <w:rsid w:val="2B4C5204"/>
    <w:rsid w:val="2B595CEF"/>
    <w:rsid w:val="2B5F3006"/>
    <w:rsid w:val="2B656257"/>
    <w:rsid w:val="2B6A74BA"/>
    <w:rsid w:val="2B6B0225"/>
    <w:rsid w:val="2B8137B1"/>
    <w:rsid w:val="2B83022D"/>
    <w:rsid w:val="2B8C31A2"/>
    <w:rsid w:val="2B992E23"/>
    <w:rsid w:val="2BA25AEF"/>
    <w:rsid w:val="2BB11BA3"/>
    <w:rsid w:val="2BC661C6"/>
    <w:rsid w:val="2BD40EBC"/>
    <w:rsid w:val="2BD92CBA"/>
    <w:rsid w:val="2BED60ED"/>
    <w:rsid w:val="2BEF393B"/>
    <w:rsid w:val="2BF61B65"/>
    <w:rsid w:val="2BFF3327"/>
    <w:rsid w:val="2C09174D"/>
    <w:rsid w:val="2C0B3A86"/>
    <w:rsid w:val="2C0B5BFD"/>
    <w:rsid w:val="2C2556F1"/>
    <w:rsid w:val="2C2A33DD"/>
    <w:rsid w:val="2C33564F"/>
    <w:rsid w:val="2C4220D7"/>
    <w:rsid w:val="2C4460DF"/>
    <w:rsid w:val="2C536191"/>
    <w:rsid w:val="2C6625DB"/>
    <w:rsid w:val="2C865A74"/>
    <w:rsid w:val="2C8C2358"/>
    <w:rsid w:val="2C960364"/>
    <w:rsid w:val="2C9B69AD"/>
    <w:rsid w:val="2CAC2547"/>
    <w:rsid w:val="2CB634AA"/>
    <w:rsid w:val="2CB8486A"/>
    <w:rsid w:val="2CBC6660"/>
    <w:rsid w:val="2CD0615F"/>
    <w:rsid w:val="2CE964F4"/>
    <w:rsid w:val="2CEA0468"/>
    <w:rsid w:val="2CF24586"/>
    <w:rsid w:val="2CFB4BBA"/>
    <w:rsid w:val="2D031960"/>
    <w:rsid w:val="2D184691"/>
    <w:rsid w:val="2D1B51CC"/>
    <w:rsid w:val="2D291565"/>
    <w:rsid w:val="2D2A1909"/>
    <w:rsid w:val="2D2F4D3F"/>
    <w:rsid w:val="2D4B6AC1"/>
    <w:rsid w:val="2D781D43"/>
    <w:rsid w:val="2D8C43DD"/>
    <w:rsid w:val="2D9951D7"/>
    <w:rsid w:val="2D9E6A2F"/>
    <w:rsid w:val="2DB2388E"/>
    <w:rsid w:val="2DCD40D0"/>
    <w:rsid w:val="2DFC513C"/>
    <w:rsid w:val="2E056DE4"/>
    <w:rsid w:val="2E2240C4"/>
    <w:rsid w:val="2E2A48A0"/>
    <w:rsid w:val="2E341888"/>
    <w:rsid w:val="2E48425C"/>
    <w:rsid w:val="2E5B679A"/>
    <w:rsid w:val="2E5E1C3D"/>
    <w:rsid w:val="2E6A05A7"/>
    <w:rsid w:val="2E736FE1"/>
    <w:rsid w:val="2E836E22"/>
    <w:rsid w:val="2EA847BF"/>
    <w:rsid w:val="2EB5032D"/>
    <w:rsid w:val="2EB61FE2"/>
    <w:rsid w:val="2EB719DE"/>
    <w:rsid w:val="2EC4619D"/>
    <w:rsid w:val="2ECB3328"/>
    <w:rsid w:val="2EDC2676"/>
    <w:rsid w:val="2EE74C1C"/>
    <w:rsid w:val="2EF0625C"/>
    <w:rsid w:val="2EF50831"/>
    <w:rsid w:val="2F117560"/>
    <w:rsid w:val="2F1B7A6C"/>
    <w:rsid w:val="2F212A3C"/>
    <w:rsid w:val="2F2A584B"/>
    <w:rsid w:val="2F322343"/>
    <w:rsid w:val="2F3C1E18"/>
    <w:rsid w:val="2F6126A2"/>
    <w:rsid w:val="2F657FD9"/>
    <w:rsid w:val="2F6A7A38"/>
    <w:rsid w:val="2F8855C9"/>
    <w:rsid w:val="2FA60BD1"/>
    <w:rsid w:val="2FB6309F"/>
    <w:rsid w:val="2FB93656"/>
    <w:rsid w:val="2FBE084C"/>
    <w:rsid w:val="2FCB7F2D"/>
    <w:rsid w:val="2FCF663C"/>
    <w:rsid w:val="2FED2ABA"/>
    <w:rsid w:val="300011B6"/>
    <w:rsid w:val="300635B2"/>
    <w:rsid w:val="300812C3"/>
    <w:rsid w:val="300A5FCC"/>
    <w:rsid w:val="30360672"/>
    <w:rsid w:val="304138EB"/>
    <w:rsid w:val="3042487F"/>
    <w:rsid w:val="30505BE6"/>
    <w:rsid w:val="30600B23"/>
    <w:rsid w:val="3064456C"/>
    <w:rsid w:val="30656B34"/>
    <w:rsid w:val="306F037A"/>
    <w:rsid w:val="309F041A"/>
    <w:rsid w:val="30B3598B"/>
    <w:rsid w:val="30B664E5"/>
    <w:rsid w:val="30BF08F8"/>
    <w:rsid w:val="30C837E3"/>
    <w:rsid w:val="30D26377"/>
    <w:rsid w:val="30DC1020"/>
    <w:rsid w:val="30E771DE"/>
    <w:rsid w:val="30EA6915"/>
    <w:rsid w:val="30F15BD9"/>
    <w:rsid w:val="30F41701"/>
    <w:rsid w:val="30F53988"/>
    <w:rsid w:val="30FD2CDB"/>
    <w:rsid w:val="31181A6D"/>
    <w:rsid w:val="312852AD"/>
    <w:rsid w:val="31382C0A"/>
    <w:rsid w:val="313C7BC6"/>
    <w:rsid w:val="313F6EBA"/>
    <w:rsid w:val="31436DD2"/>
    <w:rsid w:val="31516A9D"/>
    <w:rsid w:val="3152346E"/>
    <w:rsid w:val="31590606"/>
    <w:rsid w:val="31657F32"/>
    <w:rsid w:val="316A71F6"/>
    <w:rsid w:val="316B59E1"/>
    <w:rsid w:val="31942C78"/>
    <w:rsid w:val="31984012"/>
    <w:rsid w:val="31A214F3"/>
    <w:rsid w:val="31B15231"/>
    <w:rsid w:val="31B234B7"/>
    <w:rsid w:val="31B32C3F"/>
    <w:rsid w:val="31BA1B83"/>
    <w:rsid w:val="31BA6EFC"/>
    <w:rsid w:val="31BB3D45"/>
    <w:rsid w:val="31C12CAD"/>
    <w:rsid w:val="31C7471D"/>
    <w:rsid w:val="31D01154"/>
    <w:rsid w:val="31D30D33"/>
    <w:rsid w:val="31D50341"/>
    <w:rsid w:val="31DE5F73"/>
    <w:rsid w:val="31ED5832"/>
    <w:rsid w:val="320677FD"/>
    <w:rsid w:val="32115256"/>
    <w:rsid w:val="32132632"/>
    <w:rsid w:val="32270B61"/>
    <w:rsid w:val="32346442"/>
    <w:rsid w:val="323813E1"/>
    <w:rsid w:val="325D48B3"/>
    <w:rsid w:val="3273791F"/>
    <w:rsid w:val="327D2F57"/>
    <w:rsid w:val="328C3E26"/>
    <w:rsid w:val="32904BD5"/>
    <w:rsid w:val="32AC0502"/>
    <w:rsid w:val="32AC6B4B"/>
    <w:rsid w:val="32BD49F1"/>
    <w:rsid w:val="32E4742E"/>
    <w:rsid w:val="32E92442"/>
    <w:rsid w:val="32F33A3D"/>
    <w:rsid w:val="32F33FD3"/>
    <w:rsid w:val="32F41752"/>
    <w:rsid w:val="33021353"/>
    <w:rsid w:val="33184639"/>
    <w:rsid w:val="33236153"/>
    <w:rsid w:val="33256A54"/>
    <w:rsid w:val="33303B89"/>
    <w:rsid w:val="33322EE3"/>
    <w:rsid w:val="333A0FFB"/>
    <w:rsid w:val="333A6F10"/>
    <w:rsid w:val="336D0916"/>
    <w:rsid w:val="33753B52"/>
    <w:rsid w:val="33842064"/>
    <w:rsid w:val="33861C62"/>
    <w:rsid w:val="3390637E"/>
    <w:rsid w:val="339842B6"/>
    <w:rsid w:val="339B2353"/>
    <w:rsid w:val="33B67A02"/>
    <w:rsid w:val="33BF5042"/>
    <w:rsid w:val="33E57CD7"/>
    <w:rsid w:val="33EF52D5"/>
    <w:rsid w:val="33F847B7"/>
    <w:rsid w:val="33FF4080"/>
    <w:rsid w:val="340D3567"/>
    <w:rsid w:val="342C2351"/>
    <w:rsid w:val="342F2237"/>
    <w:rsid w:val="34461AE9"/>
    <w:rsid w:val="34547B12"/>
    <w:rsid w:val="34550CEA"/>
    <w:rsid w:val="34592FC7"/>
    <w:rsid w:val="345C5226"/>
    <w:rsid w:val="346F7B21"/>
    <w:rsid w:val="34836BCE"/>
    <w:rsid w:val="34881900"/>
    <w:rsid w:val="348F3528"/>
    <w:rsid w:val="349B7B45"/>
    <w:rsid w:val="34A01296"/>
    <w:rsid w:val="34AC7F2B"/>
    <w:rsid w:val="34AD636D"/>
    <w:rsid w:val="34AE7E88"/>
    <w:rsid w:val="34C05C92"/>
    <w:rsid w:val="34D06373"/>
    <w:rsid w:val="34D143E5"/>
    <w:rsid w:val="34D35AEF"/>
    <w:rsid w:val="34D37972"/>
    <w:rsid w:val="34DA4672"/>
    <w:rsid w:val="34E32AE1"/>
    <w:rsid w:val="34E34180"/>
    <w:rsid w:val="34E95022"/>
    <w:rsid w:val="34EA2931"/>
    <w:rsid w:val="34ED40C2"/>
    <w:rsid w:val="35194A87"/>
    <w:rsid w:val="351E76FA"/>
    <w:rsid w:val="35316BD4"/>
    <w:rsid w:val="354F0211"/>
    <w:rsid w:val="3551645A"/>
    <w:rsid w:val="35530B64"/>
    <w:rsid w:val="35533710"/>
    <w:rsid w:val="35593904"/>
    <w:rsid w:val="358B29C2"/>
    <w:rsid w:val="359E460E"/>
    <w:rsid w:val="35A80044"/>
    <w:rsid w:val="35B065D4"/>
    <w:rsid w:val="35B06E99"/>
    <w:rsid w:val="35B40B4F"/>
    <w:rsid w:val="35B64FD1"/>
    <w:rsid w:val="35C348E9"/>
    <w:rsid w:val="35F43894"/>
    <w:rsid w:val="3603156A"/>
    <w:rsid w:val="360A1383"/>
    <w:rsid w:val="360E2892"/>
    <w:rsid w:val="361F2DDF"/>
    <w:rsid w:val="362C2535"/>
    <w:rsid w:val="362F46F3"/>
    <w:rsid w:val="363B5976"/>
    <w:rsid w:val="363D6AD0"/>
    <w:rsid w:val="36520761"/>
    <w:rsid w:val="365B22D1"/>
    <w:rsid w:val="36641C18"/>
    <w:rsid w:val="367E473A"/>
    <w:rsid w:val="36934ED4"/>
    <w:rsid w:val="36963065"/>
    <w:rsid w:val="36BA5016"/>
    <w:rsid w:val="36BF6D57"/>
    <w:rsid w:val="36C123DA"/>
    <w:rsid w:val="36CF196B"/>
    <w:rsid w:val="36E95A1E"/>
    <w:rsid w:val="370311D1"/>
    <w:rsid w:val="37036FE3"/>
    <w:rsid w:val="370477FC"/>
    <w:rsid w:val="3714777F"/>
    <w:rsid w:val="372A5614"/>
    <w:rsid w:val="372B26C4"/>
    <w:rsid w:val="37347819"/>
    <w:rsid w:val="373569A8"/>
    <w:rsid w:val="373A2E6A"/>
    <w:rsid w:val="3742169B"/>
    <w:rsid w:val="375146B4"/>
    <w:rsid w:val="375E26F0"/>
    <w:rsid w:val="377D417B"/>
    <w:rsid w:val="379151F3"/>
    <w:rsid w:val="37B149CB"/>
    <w:rsid w:val="37C7739E"/>
    <w:rsid w:val="37CD79C5"/>
    <w:rsid w:val="37D01F44"/>
    <w:rsid w:val="37E76F98"/>
    <w:rsid w:val="38037753"/>
    <w:rsid w:val="380715E3"/>
    <w:rsid w:val="380B3955"/>
    <w:rsid w:val="384A4CDD"/>
    <w:rsid w:val="384E6F01"/>
    <w:rsid w:val="385D1069"/>
    <w:rsid w:val="386E43D9"/>
    <w:rsid w:val="38733665"/>
    <w:rsid w:val="38880168"/>
    <w:rsid w:val="38927395"/>
    <w:rsid w:val="38A26199"/>
    <w:rsid w:val="38A83BB5"/>
    <w:rsid w:val="38B213D3"/>
    <w:rsid w:val="38BB20A3"/>
    <w:rsid w:val="38D233FA"/>
    <w:rsid w:val="38D43BCE"/>
    <w:rsid w:val="38EC5044"/>
    <w:rsid w:val="38F03678"/>
    <w:rsid w:val="38F77979"/>
    <w:rsid w:val="3908323F"/>
    <w:rsid w:val="390D3460"/>
    <w:rsid w:val="3923347A"/>
    <w:rsid w:val="39253814"/>
    <w:rsid w:val="39261C89"/>
    <w:rsid w:val="39265134"/>
    <w:rsid w:val="392930A2"/>
    <w:rsid w:val="392F332A"/>
    <w:rsid w:val="39570430"/>
    <w:rsid w:val="395D2F01"/>
    <w:rsid w:val="396015E1"/>
    <w:rsid w:val="3966501D"/>
    <w:rsid w:val="39707F60"/>
    <w:rsid w:val="398806AD"/>
    <w:rsid w:val="39A86BE0"/>
    <w:rsid w:val="39AE4056"/>
    <w:rsid w:val="39B3568E"/>
    <w:rsid w:val="39B568E3"/>
    <w:rsid w:val="39B9544A"/>
    <w:rsid w:val="39C32B22"/>
    <w:rsid w:val="39C362FF"/>
    <w:rsid w:val="39D41E1A"/>
    <w:rsid w:val="39DC41FE"/>
    <w:rsid w:val="39DD7354"/>
    <w:rsid w:val="39E15694"/>
    <w:rsid w:val="39E16C7B"/>
    <w:rsid w:val="39EF1E10"/>
    <w:rsid w:val="39F90B21"/>
    <w:rsid w:val="3A0512CA"/>
    <w:rsid w:val="3A1530F4"/>
    <w:rsid w:val="3A1F1F8D"/>
    <w:rsid w:val="3A282FA2"/>
    <w:rsid w:val="3A3646F9"/>
    <w:rsid w:val="3A3838BE"/>
    <w:rsid w:val="3A514CB1"/>
    <w:rsid w:val="3A712349"/>
    <w:rsid w:val="3A8A0C83"/>
    <w:rsid w:val="3AC408F9"/>
    <w:rsid w:val="3AC4262D"/>
    <w:rsid w:val="3ADB235A"/>
    <w:rsid w:val="3B0771F0"/>
    <w:rsid w:val="3B225D3E"/>
    <w:rsid w:val="3B233CC1"/>
    <w:rsid w:val="3B271FC6"/>
    <w:rsid w:val="3B2A58CC"/>
    <w:rsid w:val="3B322561"/>
    <w:rsid w:val="3B325F6D"/>
    <w:rsid w:val="3B51198C"/>
    <w:rsid w:val="3B5472D3"/>
    <w:rsid w:val="3B564E9E"/>
    <w:rsid w:val="3B5C42D5"/>
    <w:rsid w:val="3B60024F"/>
    <w:rsid w:val="3B6334D9"/>
    <w:rsid w:val="3B6B49ED"/>
    <w:rsid w:val="3B7B29BE"/>
    <w:rsid w:val="3B7C29A1"/>
    <w:rsid w:val="3B851D35"/>
    <w:rsid w:val="3B86246B"/>
    <w:rsid w:val="3B884D62"/>
    <w:rsid w:val="3B9A765E"/>
    <w:rsid w:val="3BA31D15"/>
    <w:rsid w:val="3BB723BA"/>
    <w:rsid w:val="3BCD08B9"/>
    <w:rsid w:val="3BD2602C"/>
    <w:rsid w:val="3BD43076"/>
    <w:rsid w:val="3BE16075"/>
    <w:rsid w:val="3BF849DD"/>
    <w:rsid w:val="3C02710A"/>
    <w:rsid w:val="3C0957D2"/>
    <w:rsid w:val="3C0B7B65"/>
    <w:rsid w:val="3C1D30FD"/>
    <w:rsid w:val="3C1E71FB"/>
    <w:rsid w:val="3C240161"/>
    <w:rsid w:val="3C2D64DC"/>
    <w:rsid w:val="3C2E346D"/>
    <w:rsid w:val="3C2F0117"/>
    <w:rsid w:val="3C432F0B"/>
    <w:rsid w:val="3C617B6A"/>
    <w:rsid w:val="3C6541EF"/>
    <w:rsid w:val="3C6E4B76"/>
    <w:rsid w:val="3C750DFF"/>
    <w:rsid w:val="3C771E0C"/>
    <w:rsid w:val="3C8E273B"/>
    <w:rsid w:val="3CA51981"/>
    <w:rsid w:val="3CA8152D"/>
    <w:rsid w:val="3CA84845"/>
    <w:rsid w:val="3CB16D7F"/>
    <w:rsid w:val="3CB706AF"/>
    <w:rsid w:val="3CC0068F"/>
    <w:rsid w:val="3CCF5556"/>
    <w:rsid w:val="3CF76576"/>
    <w:rsid w:val="3CF968C1"/>
    <w:rsid w:val="3D0B6B4F"/>
    <w:rsid w:val="3D115388"/>
    <w:rsid w:val="3D22396E"/>
    <w:rsid w:val="3D266C41"/>
    <w:rsid w:val="3D2F1E33"/>
    <w:rsid w:val="3D3F3C98"/>
    <w:rsid w:val="3D412E02"/>
    <w:rsid w:val="3D504D37"/>
    <w:rsid w:val="3D5B7A14"/>
    <w:rsid w:val="3D623AA4"/>
    <w:rsid w:val="3D6F4777"/>
    <w:rsid w:val="3D7D68E8"/>
    <w:rsid w:val="3D7E5D86"/>
    <w:rsid w:val="3D8C5D6A"/>
    <w:rsid w:val="3D8D5C4B"/>
    <w:rsid w:val="3D96293C"/>
    <w:rsid w:val="3DA013B6"/>
    <w:rsid w:val="3DC91297"/>
    <w:rsid w:val="3DCA5833"/>
    <w:rsid w:val="3DE374EE"/>
    <w:rsid w:val="3DF43ED5"/>
    <w:rsid w:val="3DFD19ED"/>
    <w:rsid w:val="3E076F12"/>
    <w:rsid w:val="3E12574F"/>
    <w:rsid w:val="3E352F21"/>
    <w:rsid w:val="3E3A53EF"/>
    <w:rsid w:val="3E44229F"/>
    <w:rsid w:val="3E503BEB"/>
    <w:rsid w:val="3E546CEF"/>
    <w:rsid w:val="3E575792"/>
    <w:rsid w:val="3E620DC8"/>
    <w:rsid w:val="3E8D5EA1"/>
    <w:rsid w:val="3E9107F6"/>
    <w:rsid w:val="3E9111B3"/>
    <w:rsid w:val="3E9120BA"/>
    <w:rsid w:val="3EAB08D1"/>
    <w:rsid w:val="3ED3659B"/>
    <w:rsid w:val="3EDA7F9D"/>
    <w:rsid w:val="3EDB2653"/>
    <w:rsid w:val="3EDE01B4"/>
    <w:rsid w:val="3EED5948"/>
    <w:rsid w:val="3EF244EB"/>
    <w:rsid w:val="3EFD78F5"/>
    <w:rsid w:val="3F014853"/>
    <w:rsid w:val="3F0948B6"/>
    <w:rsid w:val="3F284687"/>
    <w:rsid w:val="3F475658"/>
    <w:rsid w:val="3F48598F"/>
    <w:rsid w:val="3F5C1E9F"/>
    <w:rsid w:val="3F612926"/>
    <w:rsid w:val="3F7B467C"/>
    <w:rsid w:val="3F8534F2"/>
    <w:rsid w:val="3F8D6CDE"/>
    <w:rsid w:val="3F90240B"/>
    <w:rsid w:val="3F9174FB"/>
    <w:rsid w:val="3FA41AC6"/>
    <w:rsid w:val="3FA5445E"/>
    <w:rsid w:val="3FBB591E"/>
    <w:rsid w:val="3FBC683F"/>
    <w:rsid w:val="3FD51C6D"/>
    <w:rsid w:val="3FDB146D"/>
    <w:rsid w:val="3FE45BE7"/>
    <w:rsid w:val="3FFD5A88"/>
    <w:rsid w:val="40113435"/>
    <w:rsid w:val="4015086C"/>
    <w:rsid w:val="40171F1A"/>
    <w:rsid w:val="40206C3B"/>
    <w:rsid w:val="40266B5B"/>
    <w:rsid w:val="40287F09"/>
    <w:rsid w:val="4050636B"/>
    <w:rsid w:val="40597B3B"/>
    <w:rsid w:val="406B2036"/>
    <w:rsid w:val="407C20FE"/>
    <w:rsid w:val="4087523E"/>
    <w:rsid w:val="40887A2E"/>
    <w:rsid w:val="40933788"/>
    <w:rsid w:val="409C03BA"/>
    <w:rsid w:val="40A64D77"/>
    <w:rsid w:val="40C342C2"/>
    <w:rsid w:val="40D00C0D"/>
    <w:rsid w:val="40D71049"/>
    <w:rsid w:val="40F20CEB"/>
    <w:rsid w:val="410404B9"/>
    <w:rsid w:val="41180D6F"/>
    <w:rsid w:val="411A0739"/>
    <w:rsid w:val="4168196E"/>
    <w:rsid w:val="41745E6E"/>
    <w:rsid w:val="41777E0E"/>
    <w:rsid w:val="417A5F47"/>
    <w:rsid w:val="417C3882"/>
    <w:rsid w:val="4180665A"/>
    <w:rsid w:val="41813F53"/>
    <w:rsid w:val="41817F67"/>
    <w:rsid w:val="418271DC"/>
    <w:rsid w:val="41A21288"/>
    <w:rsid w:val="41B9348F"/>
    <w:rsid w:val="41C77918"/>
    <w:rsid w:val="41D9599B"/>
    <w:rsid w:val="42054E08"/>
    <w:rsid w:val="42071299"/>
    <w:rsid w:val="423842EF"/>
    <w:rsid w:val="423C12F7"/>
    <w:rsid w:val="42474C02"/>
    <w:rsid w:val="42500257"/>
    <w:rsid w:val="425D3A35"/>
    <w:rsid w:val="42642CEF"/>
    <w:rsid w:val="42663A0F"/>
    <w:rsid w:val="428118E9"/>
    <w:rsid w:val="42893219"/>
    <w:rsid w:val="429556BC"/>
    <w:rsid w:val="42965EB0"/>
    <w:rsid w:val="429E05A2"/>
    <w:rsid w:val="42B457E2"/>
    <w:rsid w:val="42B93C1B"/>
    <w:rsid w:val="42BF4360"/>
    <w:rsid w:val="42D97B2E"/>
    <w:rsid w:val="42E93B9C"/>
    <w:rsid w:val="430169F1"/>
    <w:rsid w:val="431D33B4"/>
    <w:rsid w:val="4336039B"/>
    <w:rsid w:val="434E3D91"/>
    <w:rsid w:val="435853A9"/>
    <w:rsid w:val="4371518A"/>
    <w:rsid w:val="43745761"/>
    <w:rsid w:val="437B2169"/>
    <w:rsid w:val="43825471"/>
    <w:rsid w:val="439305FE"/>
    <w:rsid w:val="43982E06"/>
    <w:rsid w:val="439C0A41"/>
    <w:rsid w:val="43C773EA"/>
    <w:rsid w:val="43D35209"/>
    <w:rsid w:val="43E61D64"/>
    <w:rsid w:val="43E84EF1"/>
    <w:rsid w:val="43F667ED"/>
    <w:rsid w:val="44137494"/>
    <w:rsid w:val="441F3A38"/>
    <w:rsid w:val="442B473D"/>
    <w:rsid w:val="443840D5"/>
    <w:rsid w:val="4445734B"/>
    <w:rsid w:val="4447606B"/>
    <w:rsid w:val="445826C1"/>
    <w:rsid w:val="445C704A"/>
    <w:rsid w:val="445E6BE2"/>
    <w:rsid w:val="446271C3"/>
    <w:rsid w:val="44704880"/>
    <w:rsid w:val="447B0766"/>
    <w:rsid w:val="447D6C1D"/>
    <w:rsid w:val="44914F23"/>
    <w:rsid w:val="449741C5"/>
    <w:rsid w:val="449E6392"/>
    <w:rsid w:val="44AA2BFC"/>
    <w:rsid w:val="44AC65F4"/>
    <w:rsid w:val="44BF49F0"/>
    <w:rsid w:val="44CA7AAC"/>
    <w:rsid w:val="44D30CAC"/>
    <w:rsid w:val="44DF5888"/>
    <w:rsid w:val="44E20E25"/>
    <w:rsid w:val="44E217B1"/>
    <w:rsid w:val="44EA3FE0"/>
    <w:rsid w:val="4505615F"/>
    <w:rsid w:val="45251B91"/>
    <w:rsid w:val="453059D7"/>
    <w:rsid w:val="454B6848"/>
    <w:rsid w:val="455B1151"/>
    <w:rsid w:val="45645480"/>
    <w:rsid w:val="457375C1"/>
    <w:rsid w:val="4581759B"/>
    <w:rsid w:val="45845041"/>
    <w:rsid w:val="459D5A05"/>
    <w:rsid w:val="45CC0DFB"/>
    <w:rsid w:val="45D212DD"/>
    <w:rsid w:val="45EE37EE"/>
    <w:rsid w:val="45FD1EC4"/>
    <w:rsid w:val="45FF5271"/>
    <w:rsid w:val="462B76FB"/>
    <w:rsid w:val="4637607B"/>
    <w:rsid w:val="464C33C7"/>
    <w:rsid w:val="465A2A40"/>
    <w:rsid w:val="465E323F"/>
    <w:rsid w:val="46674CCE"/>
    <w:rsid w:val="466C646E"/>
    <w:rsid w:val="4677607A"/>
    <w:rsid w:val="46870873"/>
    <w:rsid w:val="46870BD8"/>
    <w:rsid w:val="469D42E7"/>
    <w:rsid w:val="46A429A5"/>
    <w:rsid w:val="46D26BAF"/>
    <w:rsid w:val="46E2491C"/>
    <w:rsid w:val="46F6309C"/>
    <w:rsid w:val="46FA35DD"/>
    <w:rsid w:val="4702275A"/>
    <w:rsid w:val="4709325E"/>
    <w:rsid w:val="47202AE9"/>
    <w:rsid w:val="47487071"/>
    <w:rsid w:val="475302B2"/>
    <w:rsid w:val="47690EAD"/>
    <w:rsid w:val="4782669D"/>
    <w:rsid w:val="4787114F"/>
    <w:rsid w:val="47905CB8"/>
    <w:rsid w:val="47956F95"/>
    <w:rsid w:val="479B7CFE"/>
    <w:rsid w:val="47A6056A"/>
    <w:rsid w:val="47AE7928"/>
    <w:rsid w:val="47B60FB6"/>
    <w:rsid w:val="47C014F5"/>
    <w:rsid w:val="47CF03A4"/>
    <w:rsid w:val="47DC4C30"/>
    <w:rsid w:val="47E86419"/>
    <w:rsid w:val="48044C93"/>
    <w:rsid w:val="4824302D"/>
    <w:rsid w:val="4833286E"/>
    <w:rsid w:val="48444E3C"/>
    <w:rsid w:val="4845355B"/>
    <w:rsid w:val="484963AE"/>
    <w:rsid w:val="484E4E05"/>
    <w:rsid w:val="48526881"/>
    <w:rsid w:val="48541CAE"/>
    <w:rsid w:val="48586A3A"/>
    <w:rsid w:val="48636747"/>
    <w:rsid w:val="489316E7"/>
    <w:rsid w:val="48997365"/>
    <w:rsid w:val="489D413E"/>
    <w:rsid w:val="48A535C5"/>
    <w:rsid w:val="48B65743"/>
    <w:rsid w:val="48BB4C0B"/>
    <w:rsid w:val="48BD07E6"/>
    <w:rsid w:val="48CE6996"/>
    <w:rsid w:val="48D87727"/>
    <w:rsid w:val="48E91197"/>
    <w:rsid w:val="48ED21B1"/>
    <w:rsid w:val="48F33068"/>
    <w:rsid w:val="48F45779"/>
    <w:rsid w:val="49163330"/>
    <w:rsid w:val="491C10D1"/>
    <w:rsid w:val="491C53A4"/>
    <w:rsid w:val="49343608"/>
    <w:rsid w:val="49441DC3"/>
    <w:rsid w:val="49585D3B"/>
    <w:rsid w:val="495E2A06"/>
    <w:rsid w:val="49662CC1"/>
    <w:rsid w:val="496B02B5"/>
    <w:rsid w:val="49774460"/>
    <w:rsid w:val="497778A9"/>
    <w:rsid w:val="49AD6CEA"/>
    <w:rsid w:val="49B52241"/>
    <w:rsid w:val="49BA7960"/>
    <w:rsid w:val="49C4343A"/>
    <w:rsid w:val="49C5628D"/>
    <w:rsid w:val="49C90CF3"/>
    <w:rsid w:val="49CB60D4"/>
    <w:rsid w:val="49D77378"/>
    <w:rsid w:val="49D90668"/>
    <w:rsid w:val="49D9493E"/>
    <w:rsid w:val="49E85572"/>
    <w:rsid w:val="49ED476E"/>
    <w:rsid w:val="49F50CB4"/>
    <w:rsid w:val="49FB7184"/>
    <w:rsid w:val="49FC39E1"/>
    <w:rsid w:val="49FC6550"/>
    <w:rsid w:val="49FD4B7E"/>
    <w:rsid w:val="49FE76B2"/>
    <w:rsid w:val="4A0E26B7"/>
    <w:rsid w:val="4A0F0B32"/>
    <w:rsid w:val="4A285EC2"/>
    <w:rsid w:val="4A2958A0"/>
    <w:rsid w:val="4A2B64CD"/>
    <w:rsid w:val="4A373387"/>
    <w:rsid w:val="4A5504D6"/>
    <w:rsid w:val="4A5D3408"/>
    <w:rsid w:val="4A6B6A52"/>
    <w:rsid w:val="4A710591"/>
    <w:rsid w:val="4A7D3017"/>
    <w:rsid w:val="4A857430"/>
    <w:rsid w:val="4A8604BC"/>
    <w:rsid w:val="4A864FD9"/>
    <w:rsid w:val="4A990386"/>
    <w:rsid w:val="4A9B6CC9"/>
    <w:rsid w:val="4AA20292"/>
    <w:rsid w:val="4AA4101B"/>
    <w:rsid w:val="4AB76A6C"/>
    <w:rsid w:val="4AC1656E"/>
    <w:rsid w:val="4AC24C42"/>
    <w:rsid w:val="4AC9104E"/>
    <w:rsid w:val="4AD0224A"/>
    <w:rsid w:val="4ADA5202"/>
    <w:rsid w:val="4B00104A"/>
    <w:rsid w:val="4B006919"/>
    <w:rsid w:val="4B013F24"/>
    <w:rsid w:val="4B025CB8"/>
    <w:rsid w:val="4B037BFF"/>
    <w:rsid w:val="4B0C1032"/>
    <w:rsid w:val="4B0D1B3A"/>
    <w:rsid w:val="4B135B94"/>
    <w:rsid w:val="4B162152"/>
    <w:rsid w:val="4B330DED"/>
    <w:rsid w:val="4B395511"/>
    <w:rsid w:val="4B3973A5"/>
    <w:rsid w:val="4B56671A"/>
    <w:rsid w:val="4B5E1500"/>
    <w:rsid w:val="4B6B1724"/>
    <w:rsid w:val="4B77785B"/>
    <w:rsid w:val="4B9D4E62"/>
    <w:rsid w:val="4BA850A2"/>
    <w:rsid w:val="4BB0341A"/>
    <w:rsid w:val="4BB14882"/>
    <w:rsid w:val="4BB309F1"/>
    <w:rsid w:val="4BB35EFD"/>
    <w:rsid w:val="4BB71296"/>
    <w:rsid w:val="4BC53AB8"/>
    <w:rsid w:val="4BCB0EAF"/>
    <w:rsid w:val="4BCD4308"/>
    <w:rsid w:val="4BD22436"/>
    <w:rsid w:val="4BE0520C"/>
    <w:rsid w:val="4BEB0FE1"/>
    <w:rsid w:val="4BF03BE2"/>
    <w:rsid w:val="4BF235F4"/>
    <w:rsid w:val="4BF77EFF"/>
    <w:rsid w:val="4BFF7C22"/>
    <w:rsid w:val="4C2B0638"/>
    <w:rsid w:val="4C305FAE"/>
    <w:rsid w:val="4C341241"/>
    <w:rsid w:val="4C3764C3"/>
    <w:rsid w:val="4C4C6E95"/>
    <w:rsid w:val="4C613B25"/>
    <w:rsid w:val="4C710100"/>
    <w:rsid w:val="4C7E2D80"/>
    <w:rsid w:val="4C96348A"/>
    <w:rsid w:val="4C9A57A5"/>
    <w:rsid w:val="4CBA6BE7"/>
    <w:rsid w:val="4CBB7B02"/>
    <w:rsid w:val="4CD00124"/>
    <w:rsid w:val="4CD06461"/>
    <w:rsid w:val="4CDD2F13"/>
    <w:rsid w:val="4CE57D6B"/>
    <w:rsid w:val="4CEC1471"/>
    <w:rsid w:val="4CF55ACB"/>
    <w:rsid w:val="4CF679F5"/>
    <w:rsid w:val="4D054600"/>
    <w:rsid w:val="4D1350EC"/>
    <w:rsid w:val="4D1626C8"/>
    <w:rsid w:val="4D377777"/>
    <w:rsid w:val="4D484486"/>
    <w:rsid w:val="4D48708B"/>
    <w:rsid w:val="4D546777"/>
    <w:rsid w:val="4D561A86"/>
    <w:rsid w:val="4D7C7C79"/>
    <w:rsid w:val="4D814D6D"/>
    <w:rsid w:val="4DA03599"/>
    <w:rsid w:val="4DA71A18"/>
    <w:rsid w:val="4DAE4DB3"/>
    <w:rsid w:val="4DB32692"/>
    <w:rsid w:val="4DBB7E42"/>
    <w:rsid w:val="4DCB4BE8"/>
    <w:rsid w:val="4DE3005B"/>
    <w:rsid w:val="4E0E05F1"/>
    <w:rsid w:val="4E123A61"/>
    <w:rsid w:val="4E181F74"/>
    <w:rsid w:val="4E1C2238"/>
    <w:rsid w:val="4E283BF9"/>
    <w:rsid w:val="4E283E0B"/>
    <w:rsid w:val="4E383573"/>
    <w:rsid w:val="4E4809F9"/>
    <w:rsid w:val="4E4B4437"/>
    <w:rsid w:val="4E6A7DE6"/>
    <w:rsid w:val="4E816476"/>
    <w:rsid w:val="4E8E5D48"/>
    <w:rsid w:val="4E9874B9"/>
    <w:rsid w:val="4EBF07D1"/>
    <w:rsid w:val="4EBF26A0"/>
    <w:rsid w:val="4ECF33B4"/>
    <w:rsid w:val="4EF3584A"/>
    <w:rsid w:val="4F021491"/>
    <w:rsid w:val="4F08177C"/>
    <w:rsid w:val="4F200763"/>
    <w:rsid w:val="4F2F067F"/>
    <w:rsid w:val="4F61122F"/>
    <w:rsid w:val="4F6A5807"/>
    <w:rsid w:val="4F7702EF"/>
    <w:rsid w:val="4F966A26"/>
    <w:rsid w:val="4F997389"/>
    <w:rsid w:val="4F9D7041"/>
    <w:rsid w:val="4F9E38F1"/>
    <w:rsid w:val="4FB2357E"/>
    <w:rsid w:val="4FBE042F"/>
    <w:rsid w:val="4FD03AF5"/>
    <w:rsid w:val="4FDE1E33"/>
    <w:rsid w:val="4FDE39E3"/>
    <w:rsid w:val="4FEA5141"/>
    <w:rsid w:val="4FFB6C2C"/>
    <w:rsid w:val="500013B1"/>
    <w:rsid w:val="500C2D99"/>
    <w:rsid w:val="500E3343"/>
    <w:rsid w:val="50236F38"/>
    <w:rsid w:val="50402AE5"/>
    <w:rsid w:val="50460DBB"/>
    <w:rsid w:val="50586A7F"/>
    <w:rsid w:val="5066337B"/>
    <w:rsid w:val="506B150D"/>
    <w:rsid w:val="506B3184"/>
    <w:rsid w:val="508F6D9B"/>
    <w:rsid w:val="50930187"/>
    <w:rsid w:val="50963945"/>
    <w:rsid w:val="509F726F"/>
    <w:rsid w:val="50A00F51"/>
    <w:rsid w:val="50A62623"/>
    <w:rsid w:val="50A8181B"/>
    <w:rsid w:val="50A929F6"/>
    <w:rsid w:val="50AA6FC8"/>
    <w:rsid w:val="50B4341C"/>
    <w:rsid w:val="50C073CC"/>
    <w:rsid w:val="50C74476"/>
    <w:rsid w:val="50C811AB"/>
    <w:rsid w:val="50E31194"/>
    <w:rsid w:val="50E46600"/>
    <w:rsid w:val="50EF46D5"/>
    <w:rsid w:val="50F32A05"/>
    <w:rsid w:val="50F96C4E"/>
    <w:rsid w:val="510E1956"/>
    <w:rsid w:val="5117194D"/>
    <w:rsid w:val="512146F9"/>
    <w:rsid w:val="513A422D"/>
    <w:rsid w:val="515F21B7"/>
    <w:rsid w:val="51691424"/>
    <w:rsid w:val="518306D4"/>
    <w:rsid w:val="518E5C35"/>
    <w:rsid w:val="51A63BD5"/>
    <w:rsid w:val="51A96410"/>
    <w:rsid w:val="51B05BD7"/>
    <w:rsid w:val="51D904AC"/>
    <w:rsid w:val="52007BFE"/>
    <w:rsid w:val="520635FF"/>
    <w:rsid w:val="520B25EE"/>
    <w:rsid w:val="521628C4"/>
    <w:rsid w:val="52185DA7"/>
    <w:rsid w:val="521D49F1"/>
    <w:rsid w:val="521F0601"/>
    <w:rsid w:val="522100C0"/>
    <w:rsid w:val="522C3822"/>
    <w:rsid w:val="52335ED4"/>
    <w:rsid w:val="523400A0"/>
    <w:rsid w:val="523503EF"/>
    <w:rsid w:val="523E2389"/>
    <w:rsid w:val="524F15AC"/>
    <w:rsid w:val="52517666"/>
    <w:rsid w:val="526029B7"/>
    <w:rsid w:val="526B2DEC"/>
    <w:rsid w:val="526C33B9"/>
    <w:rsid w:val="527E0789"/>
    <w:rsid w:val="52817DF3"/>
    <w:rsid w:val="528918F6"/>
    <w:rsid w:val="528A1D9A"/>
    <w:rsid w:val="528C71CA"/>
    <w:rsid w:val="52931CEB"/>
    <w:rsid w:val="52AE312E"/>
    <w:rsid w:val="52B33948"/>
    <w:rsid w:val="52BD76C8"/>
    <w:rsid w:val="52BE565A"/>
    <w:rsid w:val="52D45933"/>
    <w:rsid w:val="52D56E29"/>
    <w:rsid w:val="52D65C92"/>
    <w:rsid w:val="52E91BCE"/>
    <w:rsid w:val="52ED1CC0"/>
    <w:rsid w:val="52EF365A"/>
    <w:rsid w:val="52FA2402"/>
    <w:rsid w:val="53026C57"/>
    <w:rsid w:val="5307426C"/>
    <w:rsid w:val="531A3F75"/>
    <w:rsid w:val="531D4232"/>
    <w:rsid w:val="537229AB"/>
    <w:rsid w:val="53745AB9"/>
    <w:rsid w:val="538D5D59"/>
    <w:rsid w:val="539A5018"/>
    <w:rsid w:val="53A13856"/>
    <w:rsid w:val="53BD0F85"/>
    <w:rsid w:val="53C5109B"/>
    <w:rsid w:val="53C87A2C"/>
    <w:rsid w:val="53D75C35"/>
    <w:rsid w:val="53E701B5"/>
    <w:rsid w:val="53E8282F"/>
    <w:rsid w:val="53FE62CD"/>
    <w:rsid w:val="54091605"/>
    <w:rsid w:val="540F05AA"/>
    <w:rsid w:val="541103B0"/>
    <w:rsid w:val="541127E7"/>
    <w:rsid w:val="5412064F"/>
    <w:rsid w:val="541E1810"/>
    <w:rsid w:val="5421495A"/>
    <w:rsid w:val="54215754"/>
    <w:rsid w:val="542F0B3E"/>
    <w:rsid w:val="544A7BF5"/>
    <w:rsid w:val="54594B00"/>
    <w:rsid w:val="545F22B3"/>
    <w:rsid w:val="54720E6C"/>
    <w:rsid w:val="54760FF7"/>
    <w:rsid w:val="548431AD"/>
    <w:rsid w:val="54921106"/>
    <w:rsid w:val="549914C0"/>
    <w:rsid w:val="549C369B"/>
    <w:rsid w:val="549C5130"/>
    <w:rsid w:val="549F1722"/>
    <w:rsid w:val="54B73C42"/>
    <w:rsid w:val="54B93795"/>
    <w:rsid w:val="54CF284E"/>
    <w:rsid w:val="54CF551B"/>
    <w:rsid w:val="54DF2057"/>
    <w:rsid w:val="54E56CEB"/>
    <w:rsid w:val="54F752DA"/>
    <w:rsid w:val="54FE6C34"/>
    <w:rsid w:val="55007F77"/>
    <w:rsid w:val="55012001"/>
    <w:rsid w:val="55012B07"/>
    <w:rsid w:val="551204DD"/>
    <w:rsid w:val="55170551"/>
    <w:rsid w:val="553039A6"/>
    <w:rsid w:val="553375AE"/>
    <w:rsid w:val="554376C8"/>
    <w:rsid w:val="554A1D42"/>
    <w:rsid w:val="554B3E65"/>
    <w:rsid w:val="554D5EE2"/>
    <w:rsid w:val="554F0D7B"/>
    <w:rsid w:val="556566BD"/>
    <w:rsid w:val="55676FA4"/>
    <w:rsid w:val="55706585"/>
    <w:rsid w:val="55844DC7"/>
    <w:rsid w:val="5591144D"/>
    <w:rsid w:val="55982001"/>
    <w:rsid w:val="55B62F64"/>
    <w:rsid w:val="55BD4F0C"/>
    <w:rsid w:val="55C00A13"/>
    <w:rsid w:val="55D02AD6"/>
    <w:rsid w:val="55D86454"/>
    <w:rsid w:val="55DB770E"/>
    <w:rsid w:val="55DE6FB7"/>
    <w:rsid w:val="55EB3A9F"/>
    <w:rsid w:val="55F60D33"/>
    <w:rsid w:val="55F862A3"/>
    <w:rsid w:val="55FF6B5E"/>
    <w:rsid w:val="56043987"/>
    <w:rsid w:val="56157BE1"/>
    <w:rsid w:val="56177009"/>
    <w:rsid w:val="56240F0F"/>
    <w:rsid w:val="56313E39"/>
    <w:rsid w:val="563E2CDF"/>
    <w:rsid w:val="563F5B07"/>
    <w:rsid w:val="564022C7"/>
    <w:rsid w:val="56781174"/>
    <w:rsid w:val="56917696"/>
    <w:rsid w:val="56AE05DF"/>
    <w:rsid w:val="56B227BD"/>
    <w:rsid w:val="56DC12E1"/>
    <w:rsid w:val="56E9226D"/>
    <w:rsid w:val="56F47250"/>
    <w:rsid w:val="56F63F94"/>
    <w:rsid w:val="56F850D9"/>
    <w:rsid w:val="56FB1062"/>
    <w:rsid w:val="57006EE2"/>
    <w:rsid w:val="57023C45"/>
    <w:rsid w:val="570941CF"/>
    <w:rsid w:val="570B0683"/>
    <w:rsid w:val="571F3C94"/>
    <w:rsid w:val="5720074D"/>
    <w:rsid w:val="57216ED0"/>
    <w:rsid w:val="572300F2"/>
    <w:rsid w:val="575B4B42"/>
    <w:rsid w:val="57756EB4"/>
    <w:rsid w:val="579D75BE"/>
    <w:rsid w:val="57A52319"/>
    <w:rsid w:val="57B738E0"/>
    <w:rsid w:val="57C54841"/>
    <w:rsid w:val="57DA7AC1"/>
    <w:rsid w:val="57E31345"/>
    <w:rsid w:val="57E44586"/>
    <w:rsid w:val="57EA183C"/>
    <w:rsid w:val="580959D0"/>
    <w:rsid w:val="582B5671"/>
    <w:rsid w:val="583F2B05"/>
    <w:rsid w:val="584176DB"/>
    <w:rsid w:val="585573FE"/>
    <w:rsid w:val="58576D1F"/>
    <w:rsid w:val="5857740D"/>
    <w:rsid w:val="586D0ED4"/>
    <w:rsid w:val="588206BE"/>
    <w:rsid w:val="58882392"/>
    <w:rsid w:val="589D790A"/>
    <w:rsid w:val="58A0597F"/>
    <w:rsid w:val="58AB6F50"/>
    <w:rsid w:val="58AF5181"/>
    <w:rsid w:val="58BC21C0"/>
    <w:rsid w:val="58BD3E97"/>
    <w:rsid w:val="58BE6F76"/>
    <w:rsid w:val="58C94687"/>
    <w:rsid w:val="58D82B42"/>
    <w:rsid w:val="58E71317"/>
    <w:rsid w:val="58E95211"/>
    <w:rsid w:val="58EA7E06"/>
    <w:rsid w:val="58F11CED"/>
    <w:rsid w:val="58F43429"/>
    <w:rsid w:val="58F47CB9"/>
    <w:rsid w:val="58FF6FD4"/>
    <w:rsid w:val="590A4AF3"/>
    <w:rsid w:val="590F02CE"/>
    <w:rsid w:val="590F04BC"/>
    <w:rsid w:val="59181B19"/>
    <w:rsid w:val="5928033E"/>
    <w:rsid w:val="59452151"/>
    <w:rsid w:val="596326A9"/>
    <w:rsid w:val="596400E7"/>
    <w:rsid w:val="59687584"/>
    <w:rsid w:val="59693A26"/>
    <w:rsid w:val="59812E2C"/>
    <w:rsid w:val="5985098D"/>
    <w:rsid w:val="59941826"/>
    <w:rsid w:val="59993806"/>
    <w:rsid w:val="59AC1559"/>
    <w:rsid w:val="59AF2706"/>
    <w:rsid w:val="59BD1B2E"/>
    <w:rsid w:val="59C908F0"/>
    <w:rsid w:val="59E86016"/>
    <w:rsid w:val="59EF1F13"/>
    <w:rsid w:val="59F01F19"/>
    <w:rsid w:val="5A104321"/>
    <w:rsid w:val="5A1560F8"/>
    <w:rsid w:val="5A1A0047"/>
    <w:rsid w:val="5A2577EF"/>
    <w:rsid w:val="5A262260"/>
    <w:rsid w:val="5A3129B5"/>
    <w:rsid w:val="5A365F43"/>
    <w:rsid w:val="5A370150"/>
    <w:rsid w:val="5A4F57C5"/>
    <w:rsid w:val="5A626742"/>
    <w:rsid w:val="5A7B3AA3"/>
    <w:rsid w:val="5A7E5644"/>
    <w:rsid w:val="5A8549FC"/>
    <w:rsid w:val="5A8A5EB8"/>
    <w:rsid w:val="5A931688"/>
    <w:rsid w:val="5AAD1057"/>
    <w:rsid w:val="5AAD3281"/>
    <w:rsid w:val="5AB32455"/>
    <w:rsid w:val="5AC247F5"/>
    <w:rsid w:val="5AC86500"/>
    <w:rsid w:val="5ACF6871"/>
    <w:rsid w:val="5ADF45F8"/>
    <w:rsid w:val="5AE21F08"/>
    <w:rsid w:val="5AED4132"/>
    <w:rsid w:val="5AF138D8"/>
    <w:rsid w:val="5AF64A3F"/>
    <w:rsid w:val="5AF959B1"/>
    <w:rsid w:val="5B0B3BF4"/>
    <w:rsid w:val="5B0C7609"/>
    <w:rsid w:val="5B1C4795"/>
    <w:rsid w:val="5B223235"/>
    <w:rsid w:val="5B242A4F"/>
    <w:rsid w:val="5B2717E3"/>
    <w:rsid w:val="5B2C2A70"/>
    <w:rsid w:val="5B2F00FD"/>
    <w:rsid w:val="5B4E75BC"/>
    <w:rsid w:val="5B503FD7"/>
    <w:rsid w:val="5B6D6ADE"/>
    <w:rsid w:val="5B733C40"/>
    <w:rsid w:val="5B7B786A"/>
    <w:rsid w:val="5B832673"/>
    <w:rsid w:val="5B8B5B28"/>
    <w:rsid w:val="5B8F329E"/>
    <w:rsid w:val="5BA85095"/>
    <w:rsid w:val="5BAD5851"/>
    <w:rsid w:val="5BBB61E1"/>
    <w:rsid w:val="5BBD6363"/>
    <w:rsid w:val="5BBD6932"/>
    <w:rsid w:val="5BCD2C60"/>
    <w:rsid w:val="5BCE0681"/>
    <w:rsid w:val="5BD151EF"/>
    <w:rsid w:val="5BD85AF2"/>
    <w:rsid w:val="5BDA39C4"/>
    <w:rsid w:val="5BDC6114"/>
    <w:rsid w:val="5BE66D4B"/>
    <w:rsid w:val="5BE76AA6"/>
    <w:rsid w:val="5BF61071"/>
    <w:rsid w:val="5C032B6D"/>
    <w:rsid w:val="5C105ABA"/>
    <w:rsid w:val="5C1B258A"/>
    <w:rsid w:val="5C2B4FE7"/>
    <w:rsid w:val="5C5566E7"/>
    <w:rsid w:val="5C5750BA"/>
    <w:rsid w:val="5C5A6154"/>
    <w:rsid w:val="5C5B5AE3"/>
    <w:rsid w:val="5C6E0507"/>
    <w:rsid w:val="5C7401B0"/>
    <w:rsid w:val="5C7C4188"/>
    <w:rsid w:val="5C7D4D78"/>
    <w:rsid w:val="5C7E3B8B"/>
    <w:rsid w:val="5C812DA3"/>
    <w:rsid w:val="5C841EC2"/>
    <w:rsid w:val="5C861C82"/>
    <w:rsid w:val="5C881615"/>
    <w:rsid w:val="5C890C1B"/>
    <w:rsid w:val="5C90290A"/>
    <w:rsid w:val="5C93669A"/>
    <w:rsid w:val="5C9E6620"/>
    <w:rsid w:val="5CD757AA"/>
    <w:rsid w:val="5CEC7195"/>
    <w:rsid w:val="5CEF6FC2"/>
    <w:rsid w:val="5CF22A1A"/>
    <w:rsid w:val="5D191512"/>
    <w:rsid w:val="5D1A2372"/>
    <w:rsid w:val="5D304BA4"/>
    <w:rsid w:val="5D4A3E97"/>
    <w:rsid w:val="5D6218EE"/>
    <w:rsid w:val="5D756A8D"/>
    <w:rsid w:val="5D7907E1"/>
    <w:rsid w:val="5D867492"/>
    <w:rsid w:val="5DAF334A"/>
    <w:rsid w:val="5DC54569"/>
    <w:rsid w:val="5DCA690B"/>
    <w:rsid w:val="5DEB595C"/>
    <w:rsid w:val="5E074682"/>
    <w:rsid w:val="5E087EA2"/>
    <w:rsid w:val="5E3D424E"/>
    <w:rsid w:val="5E4D4C0A"/>
    <w:rsid w:val="5E7E0404"/>
    <w:rsid w:val="5E861EC4"/>
    <w:rsid w:val="5E963B78"/>
    <w:rsid w:val="5EA5785A"/>
    <w:rsid w:val="5ED358B4"/>
    <w:rsid w:val="5EDD496A"/>
    <w:rsid w:val="5EF6627A"/>
    <w:rsid w:val="5EF93247"/>
    <w:rsid w:val="5F037BD6"/>
    <w:rsid w:val="5F065C4C"/>
    <w:rsid w:val="5F0F4579"/>
    <w:rsid w:val="5F196702"/>
    <w:rsid w:val="5F2A6387"/>
    <w:rsid w:val="5F3336A5"/>
    <w:rsid w:val="5F3460CD"/>
    <w:rsid w:val="5F64091A"/>
    <w:rsid w:val="5F654B44"/>
    <w:rsid w:val="5F6B056C"/>
    <w:rsid w:val="5F881135"/>
    <w:rsid w:val="5F8948B1"/>
    <w:rsid w:val="5F8D3EEC"/>
    <w:rsid w:val="5F8E7C87"/>
    <w:rsid w:val="5F9B1940"/>
    <w:rsid w:val="5F9D02B3"/>
    <w:rsid w:val="5FBB2206"/>
    <w:rsid w:val="5FC26EAD"/>
    <w:rsid w:val="5FC5792F"/>
    <w:rsid w:val="5FC773D1"/>
    <w:rsid w:val="5FD6692E"/>
    <w:rsid w:val="5FDD5679"/>
    <w:rsid w:val="60204443"/>
    <w:rsid w:val="60290B00"/>
    <w:rsid w:val="602A71DA"/>
    <w:rsid w:val="60314D68"/>
    <w:rsid w:val="6038451C"/>
    <w:rsid w:val="60385E5E"/>
    <w:rsid w:val="60575D03"/>
    <w:rsid w:val="606B1272"/>
    <w:rsid w:val="606C205E"/>
    <w:rsid w:val="60817100"/>
    <w:rsid w:val="60A11B04"/>
    <w:rsid w:val="60AA407B"/>
    <w:rsid w:val="60AF73DA"/>
    <w:rsid w:val="60BD1AB0"/>
    <w:rsid w:val="60C761EE"/>
    <w:rsid w:val="60EC36F3"/>
    <w:rsid w:val="60F060F3"/>
    <w:rsid w:val="61023718"/>
    <w:rsid w:val="61040012"/>
    <w:rsid w:val="610D2C42"/>
    <w:rsid w:val="610D5683"/>
    <w:rsid w:val="611275D3"/>
    <w:rsid w:val="6117553F"/>
    <w:rsid w:val="611F1F33"/>
    <w:rsid w:val="612F1893"/>
    <w:rsid w:val="61377141"/>
    <w:rsid w:val="613F350A"/>
    <w:rsid w:val="614119D1"/>
    <w:rsid w:val="614A6BAF"/>
    <w:rsid w:val="616A2549"/>
    <w:rsid w:val="616C40AC"/>
    <w:rsid w:val="616F65D9"/>
    <w:rsid w:val="61774CC7"/>
    <w:rsid w:val="61784320"/>
    <w:rsid w:val="618B6504"/>
    <w:rsid w:val="6191107D"/>
    <w:rsid w:val="6194428A"/>
    <w:rsid w:val="61983D24"/>
    <w:rsid w:val="61A27089"/>
    <w:rsid w:val="61A54808"/>
    <w:rsid w:val="61CD18B0"/>
    <w:rsid w:val="61D10197"/>
    <w:rsid w:val="61EB1E6C"/>
    <w:rsid w:val="61EC624B"/>
    <w:rsid w:val="61F062DE"/>
    <w:rsid w:val="61FA1611"/>
    <w:rsid w:val="62163F9E"/>
    <w:rsid w:val="6228522F"/>
    <w:rsid w:val="62297593"/>
    <w:rsid w:val="622B5454"/>
    <w:rsid w:val="624E3C91"/>
    <w:rsid w:val="6263341B"/>
    <w:rsid w:val="62717BAD"/>
    <w:rsid w:val="627A039B"/>
    <w:rsid w:val="62816109"/>
    <w:rsid w:val="6283004B"/>
    <w:rsid w:val="62A86E8C"/>
    <w:rsid w:val="62B66F28"/>
    <w:rsid w:val="62C4483E"/>
    <w:rsid w:val="62C60237"/>
    <w:rsid w:val="62DC7798"/>
    <w:rsid w:val="62DE7902"/>
    <w:rsid w:val="62E770D6"/>
    <w:rsid w:val="62F35142"/>
    <w:rsid w:val="63002166"/>
    <w:rsid w:val="63102C21"/>
    <w:rsid w:val="63114394"/>
    <w:rsid w:val="6313399E"/>
    <w:rsid w:val="63223DF2"/>
    <w:rsid w:val="63257DB5"/>
    <w:rsid w:val="6356637E"/>
    <w:rsid w:val="636F6B5F"/>
    <w:rsid w:val="639F4593"/>
    <w:rsid w:val="63B46297"/>
    <w:rsid w:val="63B638DF"/>
    <w:rsid w:val="63BF576D"/>
    <w:rsid w:val="63C92AD9"/>
    <w:rsid w:val="63C957B1"/>
    <w:rsid w:val="63D445D2"/>
    <w:rsid w:val="63E452F2"/>
    <w:rsid w:val="63F1445B"/>
    <w:rsid w:val="63FD0E4A"/>
    <w:rsid w:val="64012855"/>
    <w:rsid w:val="640D7F44"/>
    <w:rsid w:val="641078C2"/>
    <w:rsid w:val="64116E17"/>
    <w:rsid w:val="64121023"/>
    <w:rsid w:val="641526D4"/>
    <w:rsid w:val="641E0BDF"/>
    <w:rsid w:val="6422650A"/>
    <w:rsid w:val="644265F5"/>
    <w:rsid w:val="64561FCB"/>
    <w:rsid w:val="645851A4"/>
    <w:rsid w:val="645A3547"/>
    <w:rsid w:val="646016C6"/>
    <w:rsid w:val="646B0014"/>
    <w:rsid w:val="64835F2F"/>
    <w:rsid w:val="648E0F1D"/>
    <w:rsid w:val="64A34B3F"/>
    <w:rsid w:val="64AA2F57"/>
    <w:rsid w:val="64AE0F4E"/>
    <w:rsid w:val="64AE13F7"/>
    <w:rsid w:val="64B25397"/>
    <w:rsid w:val="64BB096D"/>
    <w:rsid w:val="64C43FFD"/>
    <w:rsid w:val="64CA6E06"/>
    <w:rsid w:val="64D80423"/>
    <w:rsid w:val="64E41EF0"/>
    <w:rsid w:val="64EC273A"/>
    <w:rsid w:val="64F268AB"/>
    <w:rsid w:val="64FC4C41"/>
    <w:rsid w:val="650C51B0"/>
    <w:rsid w:val="651725E2"/>
    <w:rsid w:val="651A7500"/>
    <w:rsid w:val="652276AE"/>
    <w:rsid w:val="652C5C05"/>
    <w:rsid w:val="652F039D"/>
    <w:rsid w:val="65374C36"/>
    <w:rsid w:val="653D761C"/>
    <w:rsid w:val="655A37B9"/>
    <w:rsid w:val="655D0276"/>
    <w:rsid w:val="65701561"/>
    <w:rsid w:val="65713082"/>
    <w:rsid w:val="658557B5"/>
    <w:rsid w:val="658619DF"/>
    <w:rsid w:val="65884709"/>
    <w:rsid w:val="658A3DE2"/>
    <w:rsid w:val="658B76EB"/>
    <w:rsid w:val="65A30CA4"/>
    <w:rsid w:val="65AD79F0"/>
    <w:rsid w:val="65BB7411"/>
    <w:rsid w:val="65DF1E54"/>
    <w:rsid w:val="65FE6126"/>
    <w:rsid w:val="660A3CD1"/>
    <w:rsid w:val="660E182C"/>
    <w:rsid w:val="66167CCD"/>
    <w:rsid w:val="66196874"/>
    <w:rsid w:val="66221523"/>
    <w:rsid w:val="664114DB"/>
    <w:rsid w:val="6646574C"/>
    <w:rsid w:val="66525DF3"/>
    <w:rsid w:val="665B6FFD"/>
    <w:rsid w:val="66607431"/>
    <w:rsid w:val="66760AAE"/>
    <w:rsid w:val="667D7D21"/>
    <w:rsid w:val="667E00F5"/>
    <w:rsid w:val="668652F7"/>
    <w:rsid w:val="668E0F6D"/>
    <w:rsid w:val="66900CCE"/>
    <w:rsid w:val="66970AC9"/>
    <w:rsid w:val="669F1156"/>
    <w:rsid w:val="669F1FCC"/>
    <w:rsid w:val="66A512FE"/>
    <w:rsid w:val="66A5757E"/>
    <w:rsid w:val="66A94A65"/>
    <w:rsid w:val="66B37847"/>
    <w:rsid w:val="66BD4C13"/>
    <w:rsid w:val="66C67051"/>
    <w:rsid w:val="66D45137"/>
    <w:rsid w:val="66D66B6F"/>
    <w:rsid w:val="67012483"/>
    <w:rsid w:val="670F5BE9"/>
    <w:rsid w:val="671A2423"/>
    <w:rsid w:val="6721158C"/>
    <w:rsid w:val="67244B74"/>
    <w:rsid w:val="672C1D53"/>
    <w:rsid w:val="672E4369"/>
    <w:rsid w:val="6750518A"/>
    <w:rsid w:val="67560E79"/>
    <w:rsid w:val="67585874"/>
    <w:rsid w:val="675B57F5"/>
    <w:rsid w:val="67604C6F"/>
    <w:rsid w:val="676115BC"/>
    <w:rsid w:val="676207E2"/>
    <w:rsid w:val="676664F6"/>
    <w:rsid w:val="677F08F5"/>
    <w:rsid w:val="6788628F"/>
    <w:rsid w:val="67891F5E"/>
    <w:rsid w:val="67900F02"/>
    <w:rsid w:val="67993ACA"/>
    <w:rsid w:val="67A31D8E"/>
    <w:rsid w:val="67B04172"/>
    <w:rsid w:val="67B366DC"/>
    <w:rsid w:val="67B903E6"/>
    <w:rsid w:val="67C963E2"/>
    <w:rsid w:val="67D2542E"/>
    <w:rsid w:val="67D34D08"/>
    <w:rsid w:val="67DA58E5"/>
    <w:rsid w:val="67DA7677"/>
    <w:rsid w:val="67E02DC5"/>
    <w:rsid w:val="67E2130D"/>
    <w:rsid w:val="67FD3306"/>
    <w:rsid w:val="68033DB5"/>
    <w:rsid w:val="680A5B74"/>
    <w:rsid w:val="682F09FB"/>
    <w:rsid w:val="68323F35"/>
    <w:rsid w:val="68363F74"/>
    <w:rsid w:val="6846719F"/>
    <w:rsid w:val="684B46A6"/>
    <w:rsid w:val="68780432"/>
    <w:rsid w:val="688F2D75"/>
    <w:rsid w:val="68993E52"/>
    <w:rsid w:val="68A111BA"/>
    <w:rsid w:val="68A4339A"/>
    <w:rsid w:val="68A66646"/>
    <w:rsid w:val="68C227E1"/>
    <w:rsid w:val="68C70A7B"/>
    <w:rsid w:val="68EC0657"/>
    <w:rsid w:val="68ED7680"/>
    <w:rsid w:val="68F53E09"/>
    <w:rsid w:val="68F611E6"/>
    <w:rsid w:val="68FB138E"/>
    <w:rsid w:val="6916009B"/>
    <w:rsid w:val="69190D25"/>
    <w:rsid w:val="691B1A28"/>
    <w:rsid w:val="69214908"/>
    <w:rsid w:val="694E613E"/>
    <w:rsid w:val="695A62A9"/>
    <w:rsid w:val="69614598"/>
    <w:rsid w:val="69A74842"/>
    <w:rsid w:val="69AC064B"/>
    <w:rsid w:val="69B339A6"/>
    <w:rsid w:val="69C21B5F"/>
    <w:rsid w:val="69EA2E91"/>
    <w:rsid w:val="6A0263F9"/>
    <w:rsid w:val="6A153C77"/>
    <w:rsid w:val="6A2F4319"/>
    <w:rsid w:val="6A3067CD"/>
    <w:rsid w:val="6A3A4A0C"/>
    <w:rsid w:val="6A4F714F"/>
    <w:rsid w:val="6A5B251B"/>
    <w:rsid w:val="6A5C13DF"/>
    <w:rsid w:val="6A6409E5"/>
    <w:rsid w:val="6A6441AA"/>
    <w:rsid w:val="6A6E1B96"/>
    <w:rsid w:val="6A8C1ED4"/>
    <w:rsid w:val="6A987546"/>
    <w:rsid w:val="6A9B19CC"/>
    <w:rsid w:val="6AC83389"/>
    <w:rsid w:val="6AC93F8C"/>
    <w:rsid w:val="6ACA065C"/>
    <w:rsid w:val="6ACB4611"/>
    <w:rsid w:val="6ACF3867"/>
    <w:rsid w:val="6AD36013"/>
    <w:rsid w:val="6AE41A0A"/>
    <w:rsid w:val="6AE811DE"/>
    <w:rsid w:val="6B136D2A"/>
    <w:rsid w:val="6B1B3918"/>
    <w:rsid w:val="6B30678B"/>
    <w:rsid w:val="6B347B34"/>
    <w:rsid w:val="6B3D4A1D"/>
    <w:rsid w:val="6B46043E"/>
    <w:rsid w:val="6B6779B8"/>
    <w:rsid w:val="6B7226BD"/>
    <w:rsid w:val="6B774664"/>
    <w:rsid w:val="6B7E0F6F"/>
    <w:rsid w:val="6B7F510C"/>
    <w:rsid w:val="6BAC03E5"/>
    <w:rsid w:val="6BB45E67"/>
    <w:rsid w:val="6BB5144B"/>
    <w:rsid w:val="6BBB74DF"/>
    <w:rsid w:val="6BBC52D4"/>
    <w:rsid w:val="6BC04979"/>
    <w:rsid w:val="6BD018D5"/>
    <w:rsid w:val="6BE115FE"/>
    <w:rsid w:val="6BF231B6"/>
    <w:rsid w:val="6BF31CBF"/>
    <w:rsid w:val="6BFA18B1"/>
    <w:rsid w:val="6BFF5431"/>
    <w:rsid w:val="6C246EF9"/>
    <w:rsid w:val="6C277DDD"/>
    <w:rsid w:val="6C29498F"/>
    <w:rsid w:val="6C3B3001"/>
    <w:rsid w:val="6C420BF0"/>
    <w:rsid w:val="6C54593C"/>
    <w:rsid w:val="6C616AF5"/>
    <w:rsid w:val="6C6A7B10"/>
    <w:rsid w:val="6C6B3CA0"/>
    <w:rsid w:val="6C8F3E9D"/>
    <w:rsid w:val="6C956A85"/>
    <w:rsid w:val="6CAA0521"/>
    <w:rsid w:val="6CB42DAF"/>
    <w:rsid w:val="6CC22A75"/>
    <w:rsid w:val="6CCC7A20"/>
    <w:rsid w:val="6CD108C7"/>
    <w:rsid w:val="6CD3550E"/>
    <w:rsid w:val="6CDB7DBA"/>
    <w:rsid w:val="6CDE02B9"/>
    <w:rsid w:val="6CDF2901"/>
    <w:rsid w:val="6CE82B81"/>
    <w:rsid w:val="6CEB51F7"/>
    <w:rsid w:val="6CF83869"/>
    <w:rsid w:val="6D300698"/>
    <w:rsid w:val="6D30395B"/>
    <w:rsid w:val="6D321FF3"/>
    <w:rsid w:val="6D355FBD"/>
    <w:rsid w:val="6D4444CC"/>
    <w:rsid w:val="6D594603"/>
    <w:rsid w:val="6D7121A5"/>
    <w:rsid w:val="6D841435"/>
    <w:rsid w:val="6D8E0C09"/>
    <w:rsid w:val="6D9A4162"/>
    <w:rsid w:val="6DA3528B"/>
    <w:rsid w:val="6DC95995"/>
    <w:rsid w:val="6DD36A45"/>
    <w:rsid w:val="6DE7526E"/>
    <w:rsid w:val="6DEC44AB"/>
    <w:rsid w:val="6E02368D"/>
    <w:rsid w:val="6E120BEC"/>
    <w:rsid w:val="6E122459"/>
    <w:rsid w:val="6E1C5DFF"/>
    <w:rsid w:val="6E2738C0"/>
    <w:rsid w:val="6E2D29C5"/>
    <w:rsid w:val="6E380FD7"/>
    <w:rsid w:val="6E4E3407"/>
    <w:rsid w:val="6E58647F"/>
    <w:rsid w:val="6E5F324C"/>
    <w:rsid w:val="6E645A3E"/>
    <w:rsid w:val="6E6F0818"/>
    <w:rsid w:val="6E745B20"/>
    <w:rsid w:val="6E8A5B59"/>
    <w:rsid w:val="6E8C56A5"/>
    <w:rsid w:val="6E9A1E76"/>
    <w:rsid w:val="6E9C1600"/>
    <w:rsid w:val="6EAE03D5"/>
    <w:rsid w:val="6EB14B9B"/>
    <w:rsid w:val="6EC67286"/>
    <w:rsid w:val="6ED34451"/>
    <w:rsid w:val="6ED44793"/>
    <w:rsid w:val="6ED63868"/>
    <w:rsid w:val="6EE34FD8"/>
    <w:rsid w:val="6EF60047"/>
    <w:rsid w:val="6EFB556C"/>
    <w:rsid w:val="6EFF57CA"/>
    <w:rsid w:val="6F1822E6"/>
    <w:rsid w:val="6F1A4500"/>
    <w:rsid w:val="6F2D536C"/>
    <w:rsid w:val="6F365528"/>
    <w:rsid w:val="6F37467A"/>
    <w:rsid w:val="6F3761C6"/>
    <w:rsid w:val="6F616B34"/>
    <w:rsid w:val="6F6571D2"/>
    <w:rsid w:val="6F66712A"/>
    <w:rsid w:val="6F6E7020"/>
    <w:rsid w:val="6F6F4CA4"/>
    <w:rsid w:val="6F753E12"/>
    <w:rsid w:val="6F795ED4"/>
    <w:rsid w:val="6F796DDD"/>
    <w:rsid w:val="6F7E7E9A"/>
    <w:rsid w:val="6F942F79"/>
    <w:rsid w:val="6F9464B5"/>
    <w:rsid w:val="6F961F75"/>
    <w:rsid w:val="6FA01D9B"/>
    <w:rsid w:val="6FA202DF"/>
    <w:rsid w:val="6FB02908"/>
    <w:rsid w:val="6FBF45D5"/>
    <w:rsid w:val="6FC17FE4"/>
    <w:rsid w:val="6FCA0D33"/>
    <w:rsid w:val="6FD63434"/>
    <w:rsid w:val="700415B0"/>
    <w:rsid w:val="700438A8"/>
    <w:rsid w:val="700849D0"/>
    <w:rsid w:val="70105602"/>
    <w:rsid w:val="70134DF9"/>
    <w:rsid w:val="70177EE0"/>
    <w:rsid w:val="701E0CBB"/>
    <w:rsid w:val="70247709"/>
    <w:rsid w:val="70311E96"/>
    <w:rsid w:val="7031229C"/>
    <w:rsid w:val="703538D0"/>
    <w:rsid w:val="703E53CC"/>
    <w:rsid w:val="7042330C"/>
    <w:rsid w:val="705642DC"/>
    <w:rsid w:val="70565757"/>
    <w:rsid w:val="70651CE0"/>
    <w:rsid w:val="709C706E"/>
    <w:rsid w:val="70C86724"/>
    <w:rsid w:val="70D8484D"/>
    <w:rsid w:val="70DC6C33"/>
    <w:rsid w:val="70E2677F"/>
    <w:rsid w:val="70EE1051"/>
    <w:rsid w:val="710C41DC"/>
    <w:rsid w:val="711C1CBD"/>
    <w:rsid w:val="71275981"/>
    <w:rsid w:val="712F05D2"/>
    <w:rsid w:val="713818EB"/>
    <w:rsid w:val="713F3794"/>
    <w:rsid w:val="714474DE"/>
    <w:rsid w:val="715C234F"/>
    <w:rsid w:val="71673461"/>
    <w:rsid w:val="716B0A49"/>
    <w:rsid w:val="71844B75"/>
    <w:rsid w:val="71942565"/>
    <w:rsid w:val="71984C68"/>
    <w:rsid w:val="7198589F"/>
    <w:rsid w:val="719C5B7A"/>
    <w:rsid w:val="71A851D5"/>
    <w:rsid w:val="71B609F4"/>
    <w:rsid w:val="71EE4A6D"/>
    <w:rsid w:val="71F145D8"/>
    <w:rsid w:val="720E6D95"/>
    <w:rsid w:val="72130DC2"/>
    <w:rsid w:val="72244178"/>
    <w:rsid w:val="723660EF"/>
    <w:rsid w:val="72374920"/>
    <w:rsid w:val="723C4046"/>
    <w:rsid w:val="724A13F0"/>
    <w:rsid w:val="725E3B08"/>
    <w:rsid w:val="72610E04"/>
    <w:rsid w:val="72770656"/>
    <w:rsid w:val="728576DC"/>
    <w:rsid w:val="728C5DBC"/>
    <w:rsid w:val="728D2FCD"/>
    <w:rsid w:val="72AD69D3"/>
    <w:rsid w:val="72AE7F3E"/>
    <w:rsid w:val="72AF7717"/>
    <w:rsid w:val="72B74532"/>
    <w:rsid w:val="72BA310B"/>
    <w:rsid w:val="72C606B1"/>
    <w:rsid w:val="72E41144"/>
    <w:rsid w:val="72EA339C"/>
    <w:rsid w:val="72F6756E"/>
    <w:rsid w:val="730677BB"/>
    <w:rsid w:val="7307420E"/>
    <w:rsid w:val="730B39F6"/>
    <w:rsid w:val="7310392F"/>
    <w:rsid w:val="731468B0"/>
    <w:rsid w:val="73233DB5"/>
    <w:rsid w:val="73237556"/>
    <w:rsid w:val="732A02C4"/>
    <w:rsid w:val="73394FEF"/>
    <w:rsid w:val="73434A80"/>
    <w:rsid w:val="73493F99"/>
    <w:rsid w:val="73542B63"/>
    <w:rsid w:val="735B2304"/>
    <w:rsid w:val="735B6B2C"/>
    <w:rsid w:val="735F00F2"/>
    <w:rsid w:val="736B223C"/>
    <w:rsid w:val="7377021D"/>
    <w:rsid w:val="73786335"/>
    <w:rsid w:val="737D693A"/>
    <w:rsid w:val="73887D0C"/>
    <w:rsid w:val="73992BDC"/>
    <w:rsid w:val="73A37D81"/>
    <w:rsid w:val="73AB1FDF"/>
    <w:rsid w:val="73AC07C2"/>
    <w:rsid w:val="73BE791E"/>
    <w:rsid w:val="73D87A6A"/>
    <w:rsid w:val="73DD3136"/>
    <w:rsid w:val="73EC29F8"/>
    <w:rsid w:val="73F25A67"/>
    <w:rsid w:val="73F65735"/>
    <w:rsid w:val="73F75C7E"/>
    <w:rsid w:val="740D2871"/>
    <w:rsid w:val="74166CE7"/>
    <w:rsid w:val="74215AEF"/>
    <w:rsid w:val="74242B43"/>
    <w:rsid w:val="74257EB0"/>
    <w:rsid w:val="744A7CD6"/>
    <w:rsid w:val="746B51BC"/>
    <w:rsid w:val="746B56A4"/>
    <w:rsid w:val="74701101"/>
    <w:rsid w:val="74702B32"/>
    <w:rsid w:val="74766E09"/>
    <w:rsid w:val="7481288B"/>
    <w:rsid w:val="74855B2D"/>
    <w:rsid w:val="74885903"/>
    <w:rsid w:val="7497437F"/>
    <w:rsid w:val="749C46C8"/>
    <w:rsid w:val="74A95205"/>
    <w:rsid w:val="74C92EA1"/>
    <w:rsid w:val="74D36C27"/>
    <w:rsid w:val="74DA40DF"/>
    <w:rsid w:val="74FD41BD"/>
    <w:rsid w:val="75085F38"/>
    <w:rsid w:val="751213E7"/>
    <w:rsid w:val="75180802"/>
    <w:rsid w:val="752A3180"/>
    <w:rsid w:val="75311EDA"/>
    <w:rsid w:val="75413A1F"/>
    <w:rsid w:val="754A3ED9"/>
    <w:rsid w:val="75613F82"/>
    <w:rsid w:val="75626448"/>
    <w:rsid w:val="75737E9D"/>
    <w:rsid w:val="758351EE"/>
    <w:rsid w:val="75AD1D93"/>
    <w:rsid w:val="75BB500B"/>
    <w:rsid w:val="75DE370F"/>
    <w:rsid w:val="75DF2EBB"/>
    <w:rsid w:val="75E121B1"/>
    <w:rsid w:val="75EF2343"/>
    <w:rsid w:val="75F51475"/>
    <w:rsid w:val="75FD77C4"/>
    <w:rsid w:val="75FF5D14"/>
    <w:rsid w:val="76113EF2"/>
    <w:rsid w:val="761E5C52"/>
    <w:rsid w:val="76203E51"/>
    <w:rsid w:val="762B62A0"/>
    <w:rsid w:val="762F7055"/>
    <w:rsid w:val="76364B89"/>
    <w:rsid w:val="763D37AD"/>
    <w:rsid w:val="76444A20"/>
    <w:rsid w:val="764F411F"/>
    <w:rsid w:val="76643683"/>
    <w:rsid w:val="768803FD"/>
    <w:rsid w:val="769A6377"/>
    <w:rsid w:val="76A12CD1"/>
    <w:rsid w:val="76AA085A"/>
    <w:rsid w:val="76BA668B"/>
    <w:rsid w:val="76CE2802"/>
    <w:rsid w:val="76DB51C6"/>
    <w:rsid w:val="76E06601"/>
    <w:rsid w:val="76E71FFA"/>
    <w:rsid w:val="76E97048"/>
    <w:rsid w:val="76FD3A81"/>
    <w:rsid w:val="77093BCD"/>
    <w:rsid w:val="772B0E02"/>
    <w:rsid w:val="774A165B"/>
    <w:rsid w:val="777C4CA7"/>
    <w:rsid w:val="778F0CF5"/>
    <w:rsid w:val="779F41B0"/>
    <w:rsid w:val="77A070E3"/>
    <w:rsid w:val="77BC0B0B"/>
    <w:rsid w:val="77C1034F"/>
    <w:rsid w:val="77C462C0"/>
    <w:rsid w:val="77C82C1D"/>
    <w:rsid w:val="77D04EB7"/>
    <w:rsid w:val="77D42F56"/>
    <w:rsid w:val="77D761BA"/>
    <w:rsid w:val="77D960F6"/>
    <w:rsid w:val="77DC601B"/>
    <w:rsid w:val="782F1B7D"/>
    <w:rsid w:val="78481A9E"/>
    <w:rsid w:val="785B73CF"/>
    <w:rsid w:val="785F118D"/>
    <w:rsid w:val="78847EF9"/>
    <w:rsid w:val="788526FC"/>
    <w:rsid w:val="78893A99"/>
    <w:rsid w:val="788C085A"/>
    <w:rsid w:val="788D13CC"/>
    <w:rsid w:val="78936057"/>
    <w:rsid w:val="78964306"/>
    <w:rsid w:val="789A7B26"/>
    <w:rsid w:val="78A01541"/>
    <w:rsid w:val="78B1012D"/>
    <w:rsid w:val="78B92CE4"/>
    <w:rsid w:val="78CA2FBF"/>
    <w:rsid w:val="78CC62F5"/>
    <w:rsid w:val="78CE5B66"/>
    <w:rsid w:val="78F05437"/>
    <w:rsid w:val="78F060F1"/>
    <w:rsid w:val="78FC39C6"/>
    <w:rsid w:val="79026EF9"/>
    <w:rsid w:val="790C1670"/>
    <w:rsid w:val="790F26F3"/>
    <w:rsid w:val="791C389E"/>
    <w:rsid w:val="79246532"/>
    <w:rsid w:val="792B4C08"/>
    <w:rsid w:val="7930480C"/>
    <w:rsid w:val="793111F2"/>
    <w:rsid w:val="79476C35"/>
    <w:rsid w:val="794F7E8E"/>
    <w:rsid w:val="796A6D6E"/>
    <w:rsid w:val="797E53A8"/>
    <w:rsid w:val="79815B9D"/>
    <w:rsid w:val="798C4B61"/>
    <w:rsid w:val="798E7200"/>
    <w:rsid w:val="79AF1759"/>
    <w:rsid w:val="79BD1AB2"/>
    <w:rsid w:val="79C45973"/>
    <w:rsid w:val="79C46CBE"/>
    <w:rsid w:val="79C85374"/>
    <w:rsid w:val="79CA04B7"/>
    <w:rsid w:val="79D5310B"/>
    <w:rsid w:val="79E00E25"/>
    <w:rsid w:val="79EA54FE"/>
    <w:rsid w:val="79F57D1A"/>
    <w:rsid w:val="79F72DD2"/>
    <w:rsid w:val="7A1B2046"/>
    <w:rsid w:val="7A260891"/>
    <w:rsid w:val="7A2F14A7"/>
    <w:rsid w:val="7A2F683F"/>
    <w:rsid w:val="7A415681"/>
    <w:rsid w:val="7A42361D"/>
    <w:rsid w:val="7A60267C"/>
    <w:rsid w:val="7A8B7B7A"/>
    <w:rsid w:val="7A9B1F73"/>
    <w:rsid w:val="7AA04300"/>
    <w:rsid w:val="7AA04FF2"/>
    <w:rsid w:val="7AA650B7"/>
    <w:rsid w:val="7AC070A6"/>
    <w:rsid w:val="7AC875BC"/>
    <w:rsid w:val="7ACB12A1"/>
    <w:rsid w:val="7ADF2C54"/>
    <w:rsid w:val="7AE464BB"/>
    <w:rsid w:val="7AE7322D"/>
    <w:rsid w:val="7AED2B58"/>
    <w:rsid w:val="7AEE568D"/>
    <w:rsid w:val="7AFC08CE"/>
    <w:rsid w:val="7B0B6F2C"/>
    <w:rsid w:val="7B27211D"/>
    <w:rsid w:val="7B313E00"/>
    <w:rsid w:val="7B3E74BE"/>
    <w:rsid w:val="7B485397"/>
    <w:rsid w:val="7B4914A2"/>
    <w:rsid w:val="7B61023D"/>
    <w:rsid w:val="7B827B16"/>
    <w:rsid w:val="7B8854EE"/>
    <w:rsid w:val="7BA76693"/>
    <w:rsid w:val="7BB84204"/>
    <w:rsid w:val="7BB84782"/>
    <w:rsid w:val="7BBC52C4"/>
    <w:rsid w:val="7BC20463"/>
    <w:rsid w:val="7BC47370"/>
    <w:rsid w:val="7BD15D2E"/>
    <w:rsid w:val="7BD80263"/>
    <w:rsid w:val="7BDC6644"/>
    <w:rsid w:val="7BDC6B12"/>
    <w:rsid w:val="7BE160A8"/>
    <w:rsid w:val="7BE70D0A"/>
    <w:rsid w:val="7BE81977"/>
    <w:rsid w:val="7BF35934"/>
    <w:rsid w:val="7BF5630E"/>
    <w:rsid w:val="7C093CB1"/>
    <w:rsid w:val="7C121B7F"/>
    <w:rsid w:val="7C193634"/>
    <w:rsid w:val="7C1C35AC"/>
    <w:rsid w:val="7C2C3AB9"/>
    <w:rsid w:val="7C432F17"/>
    <w:rsid w:val="7C550E76"/>
    <w:rsid w:val="7C5F755A"/>
    <w:rsid w:val="7C6E5C6E"/>
    <w:rsid w:val="7C79527E"/>
    <w:rsid w:val="7CA7500D"/>
    <w:rsid w:val="7CAB31C7"/>
    <w:rsid w:val="7CAB516B"/>
    <w:rsid w:val="7CCA25BE"/>
    <w:rsid w:val="7CDD7D38"/>
    <w:rsid w:val="7CEF1AEB"/>
    <w:rsid w:val="7D016DDD"/>
    <w:rsid w:val="7D1172AE"/>
    <w:rsid w:val="7D120053"/>
    <w:rsid w:val="7D185E5C"/>
    <w:rsid w:val="7D1B0AB2"/>
    <w:rsid w:val="7D3311CA"/>
    <w:rsid w:val="7D3832F5"/>
    <w:rsid w:val="7D4252BB"/>
    <w:rsid w:val="7D767784"/>
    <w:rsid w:val="7D7B5063"/>
    <w:rsid w:val="7D7F5F10"/>
    <w:rsid w:val="7D810AC9"/>
    <w:rsid w:val="7D9A30A2"/>
    <w:rsid w:val="7D9E204E"/>
    <w:rsid w:val="7DA2602A"/>
    <w:rsid w:val="7DC86E47"/>
    <w:rsid w:val="7DE251CA"/>
    <w:rsid w:val="7DE31BC6"/>
    <w:rsid w:val="7DE76F7A"/>
    <w:rsid w:val="7DFB6961"/>
    <w:rsid w:val="7E187777"/>
    <w:rsid w:val="7E582284"/>
    <w:rsid w:val="7E8105BA"/>
    <w:rsid w:val="7E8C5D3C"/>
    <w:rsid w:val="7E8E5047"/>
    <w:rsid w:val="7E967F45"/>
    <w:rsid w:val="7EA45641"/>
    <w:rsid w:val="7EA51C88"/>
    <w:rsid w:val="7EAD7A5E"/>
    <w:rsid w:val="7EB3411A"/>
    <w:rsid w:val="7EBA234D"/>
    <w:rsid w:val="7EBA751C"/>
    <w:rsid w:val="7EBA77B5"/>
    <w:rsid w:val="7EE7768F"/>
    <w:rsid w:val="7EF24663"/>
    <w:rsid w:val="7EFC1A7B"/>
    <w:rsid w:val="7F006B52"/>
    <w:rsid w:val="7F023DE6"/>
    <w:rsid w:val="7F0921BF"/>
    <w:rsid w:val="7F0C236B"/>
    <w:rsid w:val="7F1404D6"/>
    <w:rsid w:val="7F160217"/>
    <w:rsid w:val="7F272CA4"/>
    <w:rsid w:val="7F314EF0"/>
    <w:rsid w:val="7F342D35"/>
    <w:rsid w:val="7F354FB2"/>
    <w:rsid w:val="7F517EAA"/>
    <w:rsid w:val="7F525176"/>
    <w:rsid w:val="7F554F39"/>
    <w:rsid w:val="7F565C17"/>
    <w:rsid w:val="7F6B7839"/>
    <w:rsid w:val="7F6D1FE7"/>
    <w:rsid w:val="7F822EC0"/>
    <w:rsid w:val="7FAE7F03"/>
    <w:rsid w:val="7FB13944"/>
    <w:rsid w:val="7FB726D0"/>
    <w:rsid w:val="7FC06C54"/>
    <w:rsid w:val="7FCD10A6"/>
    <w:rsid w:val="7FE5068E"/>
    <w:rsid w:val="7FFD3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30">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8"/>
    <w:qFormat/>
    <w:uiPriority w:val="0"/>
    <w:pPr>
      <w:tabs>
        <w:tab w:val="left" w:pos="425"/>
      </w:tabs>
      <w:ind w:left="100" w:leftChars="200" w:hanging="200" w:hangingChars="200"/>
    </w:pPr>
  </w:style>
  <w:style w:type="paragraph" w:styleId="18">
    <w:name w:val="List"/>
    <w:basedOn w:val="1"/>
    <w:qFormat/>
    <w:uiPriority w:val="0"/>
    <w:pPr>
      <w:tabs>
        <w:tab w:val="left" w:pos="425"/>
      </w:tabs>
      <w:ind w:left="425" w:hanging="425"/>
    </w:pPr>
  </w:style>
  <w:style w:type="paragraph" w:styleId="19">
    <w:name w:val="Balloon Text"/>
    <w:basedOn w:val="1"/>
    <w:semiHidden/>
    <w:qFormat/>
    <w:uiPriority w:val="0"/>
    <w:rPr>
      <w:rFonts w:ascii="Tahoma" w:hAnsi="Tahoma" w:cs="Tahoma"/>
      <w:sz w:val="16"/>
      <w:szCs w:val="16"/>
    </w:rPr>
  </w:style>
  <w:style w:type="paragraph" w:styleId="20">
    <w:name w:val="footer"/>
    <w:basedOn w:val="21"/>
    <w:qFormat/>
    <w:uiPriority w:val="0"/>
    <w:pPr>
      <w:jc w:val="center"/>
    </w:pPr>
    <w:rPr>
      <w:i/>
    </w:rPr>
  </w:style>
  <w:style w:type="paragraph" w:styleId="21">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1"/>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18"/>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0">
    <w:name w:val="Revision2"/>
    <w:hidden/>
    <w:semiHidden/>
    <w:qFormat/>
    <w:uiPriority w:val="99"/>
    <w:pPr>
      <w:spacing w:after="0" w:line="240" w:lineRule="auto"/>
    </w:pPr>
    <w:rPr>
      <w:rFonts w:ascii="Times New Roman" w:hAnsi="Times New Roman" w:eastAsia="Times New Roman" w:cs="Times New Roman"/>
      <w:lang w:val="en-GB" w:eastAsia="en-US" w:bidi="ar-SA"/>
    </w:rPr>
  </w:style>
  <w:style w:type="character" w:customStyle="1" w:styleId="121">
    <w:name w:val="IvD bodytext Char"/>
    <w:basedOn w:val="24"/>
    <w:link w:val="122"/>
    <w:qFormat/>
    <w:locked/>
    <w:uiPriority w:val="0"/>
    <w:rPr>
      <w:rFonts w:cs="Arial"/>
      <w:spacing w:val="2"/>
      <w:sz w:val="22"/>
      <w:lang w:eastAsia="en-GB"/>
    </w:rPr>
  </w:style>
  <w:style w:type="paragraph" w:customStyle="1" w:styleId="122">
    <w:name w:val="IvD bodytext"/>
    <w:basedOn w:val="16"/>
    <w:link w:val="12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sz w:val="22"/>
      <w:lang w:eastAsia="en-GB"/>
    </w:rPr>
  </w:style>
  <w:style w:type="paragraph" w:customStyle="1" w:styleId="123">
    <w:name w:val="List Paragraph2"/>
    <w:basedOn w:val="1"/>
    <w:qFormat/>
    <w:uiPriority w:val="34"/>
    <w:pPr>
      <w:spacing w:after="0"/>
      <w:ind w:left="720"/>
      <w:contextualSpacing/>
    </w:pPr>
    <w:rPr>
      <w:szCs w:val="24"/>
      <w:lang w:eastAsia="ja-JP"/>
    </w:rPr>
  </w:style>
  <w:style w:type="paragraph" w:styleId="124">
    <w:name w:val="List Paragraph"/>
    <w:basedOn w:val="1"/>
    <w:qFormat/>
    <w:uiPriority w:val="34"/>
    <w:pPr>
      <w:ind w:left="840" w:leftChars="400"/>
    </w:pPr>
  </w:style>
  <w:style w:type="paragraph" w:customStyle="1" w:styleId="125">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e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oleObject" Target="embeddings/oleObject5.bin"/><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2600</Words>
  <Characters>14821</Characters>
  <Lines>123</Lines>
  <Paragraphs>34</Paragraphs>
  <TotalTime>5</TotalTime>
  <ScaleCrop>false</ScaleCrop>
  <LinksUpToDate>false</LinksUpToDate>
  <CharactersWithSpaces>17387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2018-09-28T19:37:00Z</dcterms:created>
  <dc:creator>ZTE</dc:creator>
  <cp:lastModifiedBy>Yang Ling</cp:lastModifiedBy>
  <cp:lastPrinted>2018-02-16T23:29:00Z</cp:lastPrinted>
  <dcterms:modified xsi:type="dcterms:W3CDTF">2019-11-09T03:08:42Z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